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B16" w:rsidRDefault="00406B16" w:rsidP="005750E7">
      <w:pPr>
        <w:pStyle w:val="Ttulo1"/>
        <w:jc w:val="both"/>
        <w:rPr>
          <w:b/>
          <w:sz w:val="40"/>
        </w:rPr>
      </w:pPr>
      <w:proofErr w:type="spellStart"/>
      <w:r w:rsidRPr="00406B16">
        <w:rPr>
          <w:b/>
          <w:sz w:val="40"/>
        </w:rPr>
        <w:t>NanoPart</w:t>
      </w:r>
      <w:proofErr w:type="spellEnd"/>
      <w:r w:rsidRPr="00406B16">
        <w:rPr>
          <w:b/>
          <w:sz w:val="40"/>
        </w:rPr>
        <w:t xml:space="preserve"> Detector V 3.0 (Detector de </w:t>
      </w:r>
      <w:proofErr w:type="spellStart"/>
      <w:r w:rsidRPr="00406B16">
        <w:rPr>
          <w:b/>
          <w:sz w:val="40"/>
        </w:rPr>
        <w:t>nanopartículas</w:t>
      </w:r>
      <w:proofErr w:type="spellEnd"/>
      <w:r w:rsidRPr="00406B16">
        <w:rPr>
          <w:b/>
          <w:sz w:val="40"/>
        </w:rPr>
        <w:t>)</w:t>
      </w:r>
    </w:p>
    <w:p w:rsidR="00B72312" w:rsidRPr="00B72312" w:rsidRDefault="00B72312" w:rsidP="005750E7">
      <w:pPr>
        <w:jc w:val="both"/>
        <w:rPr>
          <w:b/>
        </w:rPr>
      </w:pPr>
      <w:r w:rsidRPr="00B72312">
        <w:rPr>
          <w:b/>
        </w:rPr>
        <w:t xml:space="preserve">Victor </w:t>
      </w:r>
      <w:proofErr w:type="spellStart"/>
      <w:r w:rsidRPr="00B72312">
        <w:rPr>
          <w:b/>
        </w:rPr>
        <w:t>Leborán</w:t>
      </w:r>
      <w:proofErr w:type="spellEnd"/>
      <w:r w:rsidRPr="00B72312">
        <w:rPr>
          <w:b/>
        </w:rPr>
        <w:t xml:space="preserve"> </w:t>
      </w:r>
      <w:proofErr w:type="spellStart"/>
      <w:r w:rsidRPr="00B72312">
        <w:rPr>
          <w:b/>
        </w:rPr>
        <w:t>Alvarez</w:t>
      </w:r>
      <w:proofErr w:type="spellEnd"/>
      <w:r w:rsidRPr="00B72312">
        <w:rPr>
          <w:b/>
        </w:rPr>
        <w:t>.</w:t>
      </w:r>
      <w:r>
        <w:rPr>
          <w:b/>
        </w:rPr>
        <w:t xml:space="preserve"> </w:t>
      </w:r>
      <w:r w:rsidRPr="00B72312">
        <w:rPr>
          <w:b/>
        </w:rPr>
        <w:t>mailto: victor.leboran@usc.es</w:t>
      </w:r>
    </w:p>
    <w:p w:rsidR="005C47D9" w:rsidRPr="00406B16" w:rsidRDefault="00406B16" w:rsidP="005750E7">
      <w:pPr>
        <w:pStyle w:val="Ttulo1"/>
        <w:ind w:firstLine="709"/>
        <w:jc w:val="both"/>
        <w:rPr>
          <w:b/>
        </w:rPr>
      </w:pPr>
      <w:r w:rsidRPr="00406B16">
        <w:rPr>
          <w:b/>
        </w:rPr>
        <w:t>Instalación del programa</w:t>
      </w:r>
    </w:p>
    <w:p w:rsidR="00406B16" w:rsidRDefault="00406B16" w:rsidP="005750E7">
      <w:pPr>
        <w:ind w:firstLine="709"/>
        <w:jc w:val="both"/>
      </w:pPr>
      <w:r>
        <w:t>Para instalar esta aplicación es necesario tener el Matlab instalado previamente</w:t>
      </w:r>
      <w:r w:rsidR="005873A9">
        <w:t xml:space="preserve"> en el equipo. P</w:t>
      </w:r>
      <w:r>
        <w:t xml:space="preserve">ara instalar el Matlab </w:t>
      </w:r>
      <w:r w:rsidR="007E1153">
        <w:t>si eres mi</w:t>
      </w:r>
      <w:r w:rsidR="005873A9">
        <w:t xml:space="preserve">embro de la Universidad </w:t>
      </w:r>
      <w:r>
        <w:t xml:space="preserve">puedes seguir la guía de instalación de la </w:t>
      </w:r>
      <w:r w:rsidR="005873A9">
        <w:t xml:space="preserve">propia </w:t>
      </w:r>
      <w:r>
        <w:t xml:space="preserve">universidad. Entra en la siguiente web y verifica si dispones de acceso a una licencia </w:t>
      </w:r>
      <w:r w:rsidRPr="00406B16">
        <w:t>Campus-Wide</w:t>
      </w:r>
      <w:r>
        <w:t>.</w:t>
      </w:r>
    </w:p>
    <w:p w:rsidR="00406B16" w:rsidRDefault="002B4456" w:rsidP="005750E7">
      <w:pPr>
        <w:ind w:firstLine="709"/>
        <w:jc w:val="both"/>
      </w:pPr>
      <w:hyperlink r:id="rId5" w:history="1">
        <w:r w:rsidR="00406B16" w:rsidRPr="00827CE7">
          <w:rPr>
            <w:rStyle w:val="Hipervnculo"/>
          </w:rPr>
          <w:t>https://es.mathworks.com/academia/tah-support-program/eligibility.html</w:t>
        </w:r>
      </w:hyperlink>
    </w:p>
    <w:p w:rsidR="00406B16" w:rsidRDefault="00406B16" w:rsidP="005750E7">
      <w:pPr>
        <w:autoSpaceDE w:val="0"/>
        <w:autoSpaceDN w:val="0"/>
        <w:adjustRightInd w:val="0"/>
        <w:spacing w:after="0" w:line="240" w:lineRule="auto"/>
        <w:ind w:firstLine="709"/>
        <w:jc w:val="both"/>
      </w:pPr>
      <w:r>
        <w:t xml:space="preserve">Al meter tus datos te enviará un email con la información para instalar el producto. Recuerda que durante la instalación te pedirá que </w:t>
      </w:r>
      <w:r w:rsidR="005873A9">
        <w:t>selecciones qué</w:t>
      </w:r>
      <w:r>
        <w:t xml:space="preserve"> productos necesitas instalar. Para ejecutar este software deberás elegir el MATLAB e incluir </w:t>
      </w:r>
      <w:r w:rsidR="007E1153">
        <w:t>tres</w:t>
      </w:r>
      <w:r>
        <w:t xml:space="preserve"> de las </w:t>
      </w:r>
      <w:r w:rsidR="005873A9">
        <w:t>“</w:t>
      </w:r>
      <w:proofErr w:type="spellStart"/>
      <w:r>
        <w:t>toolboxes</w:t>
      </w:r>
      <w:proofErr w:type="spellEnd"/>
      <w:r w:rsidR="005873A9">
        <w:t>”</w:t>
      </w:r>
      <w:r>
        <w:t xml:space="preserve"> que </w:t>
      </w:r>
      <w:r w:rsidR="005873A9">
        <w:t>ofrece</w:t>
      </w:r>
      <w:r w:rsidR="007E1153">
        <w:t xml:space="preserve"> Matlab</w:t>
      </w:r>
      <w:r>
        <w:t xml:space="preserve">. La </w:t>
      </w:r>
      <w:r w:rsidR="005873A9">
        <w:t>“</w:t>
      </w:r>
      <w:proofErr w:type="spellStart"/>
      <w:r w:rsidR="005873A9">
        <w:t>toolbox</w:t>
      </w:r>
      <w:proofErr w:type="spellEnd"/>
      <w:r w:rsidR="005873A9">
        <w:t xml:space="preserve">” </w:t>
      </w:r>
      <w:r>
        <w:t>de Visión por Computador</w:t>
      </w:r>
      <w:r w:rsidR="00F534F0">
        <w:t xml:space="preserve"> (</w:t>
      </w:r>
      <w:proofErr w:type="spellStart"/>
      <w:r w:rsidR="00F534F0" w:rsidRPr="00F534F0">
        <w:rPr>
          <w:rFonts w:ascii="Courier New" w:hAnsi="Courier New" w:cs="Courier New"/>
          <w:color w:val="A020F0"/>
          <w:sz w:val="20"/>
          <w:szCs w:val="20"/>
        </w:rPr>
        <w:t>Computer</w:t>
      </w:r>
      <w:proofErr w:type="spellEnd"/>
      <w:r w:rsidR="00F534F0" w:rsidRPr="00F534F0">
        <w:rPr>
          <w:rFonts w:ascii="Courier New" w:hAnsi="Courier New" w:cs="Courier New"/>
          <w:color w:val="A020F0"/>
          <w:sz w:val="20"/>
          <w:szCs w:val="20"/>
        </w:rPr>
        <w:t xml:space="preserve"> </w:t>
      </w:r>
      <w:proofErr w:type="spellStart"/>
      <w:r w:rsidR="00F534F0" w:rsidRPr="00F534F0">
        <w:rPr>
          <w:rFonts w:ascii="Courier New" w:hAnsi="Courier New" w:cs="Courier New"/>
          <w:color w:val="A020F0"/>
          <w:sz w:val="20"/>
          <w:szCs w:val="20"/>
        </w:rPr>
        <w:t>Vision</w:t>
      </w:r>
      <w:proofErr w:type="spellEnd"/>
      <w:proofErr w:type="gramStart"/>
      <w:r w:rsidR="00F534F0">
        <w:t>)</w:t>
      </w:r>
      <w:r w:rsidR="007E1153">
        <w:t xml:space="preserve">, </w:t>
      </w:r>
      <w:r w:rsidR="00F534F0">
        <w:t xml:space="preserve"> la</w:t>
      </w:r>
      <w:proofErr w:type="gramEnd"/>
      <w:r w:rsidR="00F534F0">
        <w:t xml:space="preserve"> </w:t>
      </w:r>
      <w:r w:rsidR="007E1153">
        <w:t>“</w:t>
      </w:r>
      <w:proofErr w:type="spellStart"/>
      <w:r w:rsidR="007E1153">
        <w:t>toolbox</w:t>
      </w:r>
      <w:proofErr w:type="spellEnd"/>
      <w:r w:rsidR="007E1153">
        <w:t xml:space="preserve">” </w:t>
      </w:r>
      <w:r w:rsidR="00F534F0">
        <w:t>de procesado de imágenes</w:t>
      </w:r>
      <w:r>
        <w:t xml:space="preserve"> (</w:t>
      </w:r>
      <w:proofErr w:type="spellStart"/>
      <w:r w:rsidRPr="00406B16">
        <w:rPr>
          <w:rFonts w:ascii="Courier New" w:hAnsi="Courier New" w:cs="Courier New"/>
          <w:color w:val="A020F0"/>
          <w:sz w:val="20"/>
          <w:szCs w:val="20"/>
        </w:rPr>
        <w:t>Image</w:t>
      </w:r>
      <w:proofErr w:type="spellEnd"/>
      <w:r w:rsidRPr="00406B16">
        <w:rPr>
          <w:rFonts w:ascii="Courier New" w:hAnsi="Courier New" w:cs="Courier New"/>
          <w:color w:val="A020F0"/>
          <w:sz w:val="20"/>
          <w:szCs w:val="20"/>
        </w:rPr>
        <w:t xml:space="preserve"> </w:t>
      </w:r>
      <w:proofErr w:type="spellStart"/>
      <w:r w:rsidRPr="00406B16">
        <w:rPr>
          <w:rFonts w:ascii="Courier New" w:hAnsi="Courier New" w:cs="Courier New"/>
          <w:color w:val="A020F0"/>
          <w:sz w:val="20"/>
          <w:szCs w:val="20"/>
        </w:rPr>
        <w:t>Processing</w:t>
      </w:r>
      <w:proofErr w:type="spellEnd"/>
      <w:r w:rsidRPr="00406B16">
        <w:rPr>
          <w:rFonts w:ascii="Courier New" w:hAnsi="Courier New" w:cs="Courier New"/>
          <w:color w:val="A020F0"/>
          <w:sz w:val="20"/>
          <w:szCs w:val="20"/>
        </w:rPr>
        <w:t xml:space="preserve"> </w:t>
      </w:r>
      <w:proofErr w:type="spellStart"/>
      <w:r w:rsidRPr="00406B16">
        <w:rPr>
          <w:rFonts w:ascii="Courier New" w:hAnsi="Courier New" w:cs="Courier New"/>
          <w:color w:val="A020F0"/>
          <w:sz w:val="20"/>
          <w:szCs w:val="20"/>
        </w:rPr>
        <w:t>Toolbox</w:t>
      </w:r>
      <w:proofErr w:type="spellEnd"/>
      <w:r>
        <w:t>)</w:t>
      </w:r>
      <w:r w:rsidR="007E1153">
        <w:t xml:space="preserve"> y la “</w:t>
      </w:r>
      <w:proofErr w:type="spellStart"/>
      <w:r w:rsidR="007E1153">
        <w:t>toolbox</w:t>
      </w:r>
      <w:proofErr w:type="spellEnd"/>
      <w:r w:rsidR="007E1153">
        <w:t xml:space="preserve">” de procesado de señales </w:t>
      </w:r>
      <w:r w:rsidR="007E1153">
        <w:t>(</w:t>
      </w:r>
      <w:proofErr w:type="spellStart"/>
      <w:r w:rsidR="007E1153">
        <w:rPr>
          <w:rFonts w:ascii="Courier New" w:hAnsi="Courier New" w:cs="Courier New"/>
          <w:color w:val="A020F0"/>
          <w:sz w:val="20"/>
          <w:szCs w:val="20"/>
        </w:rPr>
        <w:t>Signal</w:t>
      </w:r>
      <w:proofErr w:type="spellEnd"/>
      <w:r w:rsidR="007E1153">
        <w:rPr>
          <w:rFonts w:ascii="Courier New" w:hAnsi="Courier New" w:cs="Courier New"/>
          <w:color w:val="A020F0"/>
          <w:sz w:val="20"/>
          <w:szCs w:val="20"/>
        </w:rPr>
        <w:t xml:space="preserve"> </w:t>
      </w:r>
      <w:proofErr w:type="spellStart"/>
      <w:r w:rsidR="007E1153" w:rsidRPr="00406B16">
        <w:rPr>
          <w:rFonts w:ascii="Courier New" w:hAnsi="Courier New" w:cs="Courier New"/>
          <w:color w:val="A020F0"/>
          <w:sz w:val="20"/>
          <w:szCs w:val="20"/>
        </w:rPr>
        <w:t>Processing</w:t>
      </w:r>
      <w:proofErr w:type="spellEnd"/>
      <w:r w:rsidR="007E1153">
        <w:rPr>
          <w:rFonts w:ascii="Courier New" w:hAnsi="Courier New" w:cs="Courier New"/>
          <w:color w:val="A020F0"/>
          <w:sz w:val="20"/>
          <w:szCs w:val="20"/>
        </w:rPr>
        <w:t xml:space="preserve"> </w:t>
      </w:r>
      <w:proofErr w:type="spellStart"/>
      <w:r w:rsidR="007E1153" w:rsidRPr="00406B16">
        <w:rPr>
          <w:rFonts w:ascii="Courier New" w:hAnsi="Courier New" w:cs="Courier New"/>
          <w:color w:val="A020F0"/>
          <w:sz w:val="20"/>
          <w:szCs w:val="20"/>
        </w:rPr>
        <w:t>Toolbox</w:t>
      </w:r>
      <w:proofErr w:type="spellEnd"/>
      <w:r w:rsidR="007E1153">
        <w:t>)</w:t>
      </w:r>
      <w:r w:rsidR="00F534F0">
        <w:t>.</w:t>
      </w:r>
      <w:r w:rsidR="00F534F0">
        <w:t xml:space="preserve"> Con esos componentes </w:t>
      </w:r>
      <w:r w:rsidR="005873A9">
        <w:t xml:space="preserve">instalados ya puedes probar el detector de </w:t>
      </w:r>
      <w:proofErr w:type="spellStart"/>
      <w:r w:rsidR="005873A9">
        <w:t>nanopartí</w:t>
      </w:r>
      <w:proofErr w:type="spellEnd"/>
      <w:r w:rsidR="005873A9">
        <w:t xml:space="preserve"> culas.</w:t>
      </w:r>
    </w:p>
    <w:p w:rsidR="00F534F0" w:rsidRDefault="00F534F0" w:rsidP="005750E7">
      <w:pPr>
        <w:autoSpaceDE w:val="0"/>
        <w:autoSpaceDN w:val="0"/>
        <w:adjustRightInd w:val="0"/>
        <w:spacing w:after="0" w:line="240" w:lineRule="auto"/>
        <w:ind w:firstLine="709"/>
        <w:jc w:val="both"/>
      </w:pPr>
    </w:p>
    <w:p w:rsidR="00F534F0" w:rsidRDefault="00F534F0" w:rsidP="005750E7">
      <w:pPr>
        <w:autoSpaceDE w:val="0"/>
        <w:autoSpaceDN w:val="0"/>
        <w:adjustRightInd w:val="0"/>
        <w:spacing w:after="0" w:line="240" w:lineRule="auto"/>
        <w:ind w:firstLine="709"/>
        <w:jc w:val="both"/>
      </w:pPr>
      <w:r>
        <w:t xml:space="preserve">A continuación, descarga el archivo </w:t>
      </w:r>
      <w:r w:rsidR="005873A9">
        <w:t>“</w:t>
      </w:r>
      <w:proofErr w:type="spellStart"/>
      <w:r w:rsidR="005873A9" w:rsidRPr="005873A9">
        <w:rPr>
          <w:b/>
        </w:rPr>
        <w:t>NanoParts_Finder.rar</w:t>
      </w:r>
      <w:proofErr w:type="spellEnd"/>
      <w:r w:rsidR="005873A9">
        <w:t>”</w:t>
      </w:r>
      <w:r>
        <w:t xml:space="preserve"> con la instalación del programa, </w:t>
      </w:r>
      <w:r w:rsidR="007E1153">
        <w:t xml:space="preserve">si no lo encuentras </w:t>
      </w:r>
      <w:r>
        <w:t xml:space="preserve">pídeselo al desarrollador. Descomprime el contenido </w:t>
      </w:r>
      <w:r w:rsidR="005873A9">
        <w:t>del</w:t>
      </w:r>
      <w:r w:rsidR="007E1153">
        <w:t xml:space="preserve"> archivo</w:t>
      </w:r>
      <w:r w:rsidR="005873A9">
        <w:t xml:space="preserve"> “</w:t>
      </w:r>
      <w:proofErr w:type="spellStart"/>
      <w:r w:rsidR="005873A9">
        <w:t>rar</w:t>
      </w:r>
      <w:proofErr w:type="spellEnd"/>
      <w:r w:rsidR="005873A9">
        <w:t xml:space="preserve">” </w:t>
      </w:r>
      <w:r>
        <w:t>en cualquier carpeta</w:t>
      </w:r>
      <w:r w:rsidR="007E1153">
        <w:t>. Inicia la aplicación de Matlab y sigue los siguientes pasos.</w:t>
      </w:r>
    </w:p>
    <w:p w:rsidR="00F534F0" w:rsidRDefault="005873A9" w:rsidP="005750E7">
      <w:pPr>
        <w:autoSpaceDE w:val="0"/>
        <w:autoSpaceDN w:val="0"/>
        <w:adjustRightInd w:val="0"/>
        <w:spacing w:after="0" w:line="240" w:lineRule="auto"/>
        <w:ind w:firstLine="709"/>
        <w:jc w:val="both"/>
      </w:pPr>
      <w:r>
        <w:t>En la ventana</w:t>
      </w:r>
      <w:r w:rsidR="00F534F0">
        <w:t xml:space="preserve"> de MATLAB hay una pestaña en la parte superior que pone </w:t>
      </w:r>
      <w:r>
        <w:t>“</w:t>
      </w:r>
      <w:r w:rsidR="00F534F0" w:rsidRPr="005873A9">
        <w:rPr>
          <w:b/>
        </w:rPr>
        <w:t>APPS</w:t>
      </w:r>
      <w:r>
        <w:t>”</w:t>
      </w:r>
      <w:r w:rsidR="00F534F0">
        <w:t xml:space="preserve">. Haz </w:t>
      </w:r>
      <w:r w:rsidR="007E1153">
        <w:t>clic</w:t>
      </w:r>
      <w:r w:rsidR="00F534F0">
        <w:t xml:space="preserve"> en la opción </w:t>
      </w:r>
      <w:r>
        <w:t>“</w:t>
      </w:r>
      <w:proofErr w:type="spellStart"/>
      <w:r w:rsidRPr="005873A9">
        <w:rPr>
          <w:b/>
        </w:rPr>
        <w:t>I</w:t>
      </w:r>
      <w:r w:rsidR="00F534F0" w:rsidRPr="005873A9">
        <w:rPr>
          <w:b/>
        </w:rPr>
        <w:t>nstall</w:t>
      </w:r>
      <w:proofErr w:type="spellEnd"/>
      <w:r w:rsidR="00F534F0" w:rsidRPr="005873A9">
        <w:rPr>
          <w:b/>
        </w:rPr>
        <w:t xml:space="preserve"> Apps</w:t>
      </w:r>
      <w:r>
        <w:t>”,</w:t>
      </w:r>
      <w:r w:rsidR="00F534F0">
        <w:t xml:space="preserve"> y elige el directorio donde acabas de descomprimir el archivo RAR. Te aparecerá en ese directorio el archivo de instalación llamado “</w:t>
      </w:r>
      <w:proofErr w:type="spellStart"/>
      <w:r w:rsidR="00F534F0" w:rsidRPr="00F534F0">
        <w:t>NanoParts_Finder.mlappinstall</w:t>
      </w:r>
      <w:proofErr w:type="spellEnd"/>
      <w:r w:rsidR="00F534F0">
        <w:t xml:space="preserve">”, selecciónalo y </w:t>
      </w:r>
      <w:r w:rsidR="007E1153">
        <w:t xml:space="preserve">al confirmar </w:t>
      </w:r>
      <w:r w:rsidR="00F534F0">
        <w:t>verás aparecer una nueva aplicación en el listad</w:t>
      </w:r>
      <w:r>
        <w:t>o de Apps disponibles de MATLAB (</w:t>
      </w:r>
      <w:r w:rsidR="007E1153">
        <w:t>¡Ya tienes la aplicación instalada !!</w:t>
      </w:r>
      <w:r>
        <w:t>).</w:t>
      </w:r>
    </w:p>
    <w:p w:rsidR="00F534F0" w:rsidRDefault="00F534F0" w:rsidP="005750E7">
      <w:pPr>
        <w:autoSpaceDE w:val="0"/>
        <w:autoSpaceDN w:val="0"/>
        <w:adjustRightInd w:val="0"/>
        <w:spacing w:after="0" w:line="240" w:lineRule="auto"/>
        <w:ind w:firstLine="709"/>
        <w:jc w:val="both"/>
      </w:pPr>
    </w:p>
    <w:p w:rsidR="007E1153" w:rsidRDefault="007E1153" w:rsidP="005750E7">
      <w:pPr>
        <w:autoSpaceDE w:val="0"/>
        <w:autoSpaceDN w:val="0"/>
        <w:adjustRightInd w:val="0"/>
        <w:spacing w:after="0" w:line="240" w:lineRule="auto"/>
        <w:ind w:firstLine="709"/>
        <w:jc w:val="both"/>
      </w:pPr>
    </w:p>
    <w:p w:rsidR="00406B16" w:rsidRPr="00406B16" w:rsidRDefault="00406B16" w:rsidP="005750E7">
      <w:pPr>
        <w:pStyle w:val="Ttulo1"/>
        <w:ind w:firstLine="709"/>
        <w:jc w:val="both"/>
        <w:rPr>
          <w:b/>
        </w:rPr>
      </w:pPr>
      <w:r w:rsidRPr="00406B16">
        <w:rPr>
          <w:b/>
        </w:rPr>
        <w:t>Primer ejemplo</w:t>
      </w:r>
    </w:p>
    <w:p w:rsidR="00F534F0" w:rsidRDefault="00F534F0" w:rsidP="005750E7">
      <w:pPr>
        <w:autoSpaceDE w:val="0"/>
        <w:autoSpaceDN w:val="0"/>
        <w:adjustRightInd w:val="0"/>
        <w:spacing w:after="0" w:line="240" w:lineRule="auto"/>
        <w:ind w:firstLine="709"/>
        <w:jc w:val="both"/>
      </w:pPr>
      <w:r>
        <w:t xml:space="preserve">Lo primero que deberías hacer al ejecutar el programa es </w:t>
      </w:r>
      <w:r w:rsidRPr="00B72312">
        <w:rPr>
          <w:b/>
        </w:rPr>
        <w:t>actualizarlo a su última versión</w:t>
      </w:r>
      <w:r>
        <w:t xml:space="preserve">. Para ello debes hacer </w:t>
      </w:r>
      <w:r w:rsidR="007E1153">
        <w:t>clic</w:t>
      </w:r>
      <w:r>
        <w:t xml:space="preserve"> sobre el </w:t>
      </w:r>
      <w:r w:rsidRPr="00B72312">
        <w:rPr>
          <w:b/>
        </w:rPr>
        <w:t>texto azul</w:t>
      </w:r>
      <w:r>
        <w:t xml:space="preserve"> </w:t>
      </w:r>
      <w:r w:rsidR="007E1153">
        <w:t>que indica</w:t>
      </w:r>
      <w:r>
        <w:t xml:space="preserve"> la versión del programa </w:t>
      </w:r>
      <w:r w:rsidR="007E1153">
        <w:t>usando</w:t>
      </w:r>
      <w:r>
        <w:t xml:space="preserve"> el </w:t>
      </w:r>
      <w:r w:rsidRPr="00F534F0">
        <w:rPr>
          <w:b/>
        </w:rPr>
        <w:t>botón derecho</w:t>
      </w:r>
      <w:r>
        <w:t>. Al hacerlo te preguntará si quieres descargar la actualización</w:t>
      </w:r>
      <w:r w:rsidR="005873A9">
        <w:t xml:space="preserve"> del programa</w:t>
      </w:r>
      <w:r>
        <w:t>.</w:t>
      </w:r>
    </w:p>
    <w:p w:rsidR="00F534F0" w:rsidRDefault="00F534F0" w:rsidP="007E1153">
      <w:pPr>
        <w:autoSpaceDE w:val="0"/>
        <w:autoSpaceDN w:val="0"/>
        <w:adjustRightInd w:val="0"/>
        <w:spacing w:after="0" w:line="240" w:lineRule="auto"/>
        <w:ind w:firstLine="709"/>
        <w:jc w:val="both"/>
      </w:pPr>
      <w:r>
        <w:t xml:space="preserve">Si es la primera vez que lo actualizas posiblemente te dará un código para que se lo envíes al programador </w:t>
      </w:r>
      <w:r w:rsidR="007E1153">
        <w:t xml:space="preserve">por email </w:t>
      </w:r>
      <w:r>
        <w:t xml:space="preserve">y con ese código </w:t>
      </w:r>
      <w:r w:rsidR="007E1153">
        <w:t xml:space="preserve">el programador </w:t>
      </w:r>
      <w:r>
        <w:t xml:space="preserve">te </w:t>
      </w:r>
      <w:r w:rsidR="008E7CE7">
        <w:t>generará</w:t>
      </w:r>
      <w:r>
        <w:t xml:space="preserve"> una versión actualizada. </w:t>
      </w:r>
      <w:r w:rsidR="008E7CE7">
        <w:t>Pídele</w:t>
      </w:r>
      <w:r>
        <w:t xml:space="preserve"> que lo actualice y a cuando </w:t>
      </w:r>
      <w:r w:rsidR="005873A9">
        <w:t>te</w:t>
      </w:r>
      <w:r>
        <w:t xml:space="preserve"> </w:t>
      </w:r>
      <w:r w:rsidR="005873A9">
        <w:t>l</w:t>
      </w:r>
      <w:r>
        <w:t>o confirme vuelve a seguir estos pasos para hacer la actualización.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534F0" w:rsidTr="00F534F0">
        <w:tc>
          <w:tcPr>
            <w:tcW w:w="10456" w:type="dxa"/>
          </w:tcPr>
          <w:p w:rsidR="008E7CE7" w:rsidRDefault="008E7CE7" w:rsidP="005750E7">
            <w:pPr>
              <w:ind w:firstLine="709"/>
              <w:jc w:val="both"/>
            </w:pPr>
          </w:p>
          <w:p w:rsidR="00F534F0" w:rsidRDefault="005873A9" w:rsidP="00F11637">
            <w:pPr>
              <w:jc w:val="center"/>
            </w:pPr>
            <w:r>
              <w:object w:dxaOrig="7170" w:dyaOrig="7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173.25pt" o:ole="">
                  <v:imagedata r:id="rId6" o:title=""/>
                </v:shape>
                <o:OLEObject Type="Embed" ProgID="PBrush" ShapeID="_x0000_i1025" DrawAspect="Content" ObjectID="_1726998223" r:id="rId7"/>
              </w:object>
            </w:r>
          </w:p>
          <w:p w:rsidR="008E7CE7" w:rsidRDefault="008E7CE7" w:rsidP="005750E7">
            <w:pPr>
              <w:ind w:firstLine="709"/>
              <w:jc w:val="both"/>
            </w:pPr>
          </w:p>
        </w:tc>
      </w:tr>
      <w:tr w:rsidR="00F534F0" w:rsidTr="00F534F0">
        <w:tc>
          <w:tcPr>
            <w:tcW w:w="10456" w:type="dxa"/>
          </w:tcPr>
          <w:p w:rsidR="00F534F0" w:rsidRPr="001271FE" w:rsidRDefault="00F534F0" w:rsidP="007E1153">
            <w:pPr>
              <w:ind w:firstLine="709"/>
              <w:jc w:val="center"/>
              <w:rPr>
                <w:i/>
              </w:rPr>
            </w:pPr>
            <w:r w:rsidRPr="001271FE">
              <w:rPr>
                <w:i/>
              </w:rPr>
              <w:t>Pantalla principal del programa.</w:t>
            </w:r>
            <w:r w:rsidR="008E7CE7" w:rsidRPr="001271FE">
              <w:rPr>
                <w:i/>
              </w:rPr>
              <w:t xml:space="preserve"> V 3.0</w:t>
            </w:r>
          </w:p>
        </w:tc>
      </w:tr>
    </w:tbl>
    <w:p w:rsidR="00F534F0" w:rsidRDefault="00F534F0" w:rsidP="005750E7">
      <w:pPr>
        <w:ind w:firstLine="709"/>
        <w:jc w:val="both"/>
      </w:pPr>
    </w:p>
    <w:p w:rsidR="008E7CE7" w:rsidRDefault="008E7CE7" w:rsidP="005750E7">
      <w:pPr>
        <w:ind w:firstLine="709"/>
        <w:jc w:val="both"/>
      </w:pPr>
      <w:r>
        <w:lastRenderedPageBreak/>
        <w:t xml:space="preserve">Para probar el ejemplo incluido con el programa haz </w:t>
      </w:r>
      <w:r w:rsidR="007E1153">
        <w:t>clic</w:t>
      </w:r>
      <w:r>
        <w:t xml:space="preserve"> directamente en el botón “</w:t>
      </w:r>
      <w:proofErr w:type="spellStart"/>
      <w:r w:rsidRPr="008E7CE7">
        <w:rPr>
          <w:b/>
        </w:rPr>
        <w:t>Reload</w:t>
      </w:r>
      <w:proofErr w:type="spellEnd"/>
      <w:r>
        <w:rPr>
          <w:b/>
        </w:rPr>
        <w:t>”</w:t>
      </w:r>
      <w:r w:rsidR="000D2EB8">
        <w:t>.</w:t>
      </w:r>
      <w:r>
        <w:t xml:space="preserve"> </w:t>
      </w:r>
      <w:r w:rsidR="000D2EB8">
        <w:t>T</w:t>
      </w:r>
      <w:r>
        <w:t>ambién puedes hacer</w:t>
      </w:r>
      <w:r w:rsidR="000D2EB8">
        <w:t xml:space="preserve"> </w:t>
      </w:r>
      <w:r w:rsidR="007E1153">
        <w:t>clic</w:t>
      </w:r>
      <w:r>
        <w:t xml:space="preserve"> en el botón </w:t>
      </w:r>
      <w:r w:rsidR="007E1153">
        <w:t>“</w:t>
      </w:r>
      <w:proofErr w:type="spellStart"/>
      <w:r w:rsidRPr="007E1153">
        <w:rPr>
          <w:b/>
        </w:rPr>
        <w:t>SelFile</w:t>
      </w:r>
      <w:proofErr w:type="spellEnd"/>
      <w:r w:rsidR="007E1153">
        <w:t>”</w:t>
      </w:r>
      <w:r>
        <w:t xml:space="preserve"> y el</w:t>
      </w:r>
      <w:r w:rsidR="000D2EB8">
        <w:t>e</w:t>
      </w:r>
      <w:r>
        <w:t>gi</w:t>
      </w:r>
      <w:r w:rsidR="000D2EB8">
        <w:t>r</w:t>
      </w:r>
      <w:r>
        <w:t xml:space="preserve"> la imagen de prueba “</w:t>
      </w:r>
      <w:r w:rsidRPr="007E1153">
        <w:rPr>
          <w:b/>
        </w:rPr>
        <w:t>2-30000X_TEM.tif</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3"/>
      </w:tblGrid>
      <w:tr w:rsidR="005873A9" w:rsidTr="005873A9">
        <w:tc>
          <w:tcPr>
            <w:tcW w:w="5233" w:type="dxa"/>
          </w:tcPr>
          <w:p w:rsidR="005873A9" w:rsidRDefault="005873A9" w:rsidP="005750E7">
            <w:pPr>
              <w:ind w:firstLine="709"/>
              <w:jc w:val="both"/>
            </w:pPr>
          </w:p>
          <w:p w:rsidR="005873A9" w:rsidRDefault="000D2EB8" w:rsidP="005750E7">
            <w:pPr>
              <w:ind w:firstLine="709"/>
              <w:jc w:val="both"/>
            </w:pPr>
            <w:r>
              <w:object w:dxaOrig="12855" w:dyaOrig="12870">
                <v:shape id="_x0000_i1026" type="#_x0000_t75" style="width:197.25pt;height:197.25pt" o:ole="">
                  <v:imagedata r:id="rId8" o:title=""/>
                </v:shape>
                <o:OLEObject Type="Embed" ProgID="PBrush" ShapeID="_x0000_i1026" DrawAspect="Content" ObjectID="_1726998224" r:id="rId9"/>
              </w:object>
            </w:r>
          </w:p>
          <w:p w:rsidR="005873A9" w:rsidRDefault="005873A9" w:rsidP="005750E7">
            <w:pPr>
              <w:ind w:firstLine="709"/>
              <w:jc w:val="both"/>
            </w:pPr>
          </w:p>
        </w:tc>
        <w:tc>
          <w:tcPr>
            <w:tcW w:w="5233" w:type="dxa"/>
          </w:tcPr>
          <w:p w:rsidR="005873A9" w:rsidRDefault="005873A9" w:rsidP="005750E7">
            <w:pPr>
              <w:ind w:firstLine="709"/>
              <w:jc w:val="both"/>
            </w:pPr>
          </w:p>
          <w:p w:rsidR="005873A9" w:rsidRDefault="005873A9" w:rsidP="005750E7">
            <w:pPr>
              <w:ind w:firstLine="709"/>
              <w:jc w:val="center"/>
            </w:pPr>
            <w:r>
              <w:object w:dxaOrig="12855" w:dyaOrig="12870">
                <v:shape id="_x0000_i1027" type="#_x0000_t75" style="width:196.5pt;height:196.5pt" o:ole="">
                  <v:imagedata r:id="rId10" o:title=""/>
                </v:shape>
                <o:OLEObject Type="Embed" ProgID="PBrush" ShapeID="_x0000_i1027" DrawAspect="Content" ObjectID="_1726998225" r:id="rId11"/>
              </w:object>
            </w:r>
          </w:p>
          <w:p w:rsidR="000D2EB8" w:rsidRDefault="000D2EB8" w:rsidP="005750E7">
            <w:pPr>
              <w:ind w:firstLine="709"/>
              <w:jc w:val="both"/>
            </w:pPr>
          </w:p>
        </w:tc>
      </w:tr>
      <w:tr w:rsidR="000D2EB8" w:rsidTr="009F26C4">
        <w:tc>
          <w:tcPr>
            <w:tcW w:w="10466" w:type="dxa"/>
            <w:gridSpan w:val="2"/>
          </w:tcPr>
          <w:p w:rsidR="000D2EB8" w:rsidRPr="001271FE" w:rsidRDefault="000D2EB8" w:rsidP="007E1153">
            <w:pPr>
              <w:ind w:firstLine="709"/>
              <w:jc w:val="center"/>
              <w:rPr>
                <w:i/>
              </w:rPr>
            </w:pPr>
            <w:r w:rsidRPr="001271FE">
              <w:rPr>
                <w:i/>
              </w:rPr>
              <w:t>Selección del área de trabajo.</w:t>
            </w:r>
          </w:p>
        </w:tc>
      </w:tr>
    </w:tbl>
    <w:p w:rsidR="00406B16" w:rsidRDefault="008E7CE7" w:rsidP="005750E7">
      <w:pPr>
        <w:ind w:firstLine="709"/>
        <w:jc w:val="both"/>
      </w:pPr>
      <w:r>
        <w:t xml:space="preserve">Lo primero que te preguntará </w:t>
      </w:r>
      <w:r w:rsidR="000D2EB8">
        <w:t xml:space="preserve">el programa </w:t>
      </w:r>
      <w:r>
        <w:t xml:space="preserve">es la </w:t>
      </w:r>
      <w:r w:rsidRPr="007E1153">
        <w:rPr>
          <w:b/>
        </w:rPr>
        <w:t xml:space="preserve">región </w:t>
      </w:r>
      <w:r w:rsidR="00311071" w:rsidRPr="007E1153">
        <w:rPr>
          <w:b/>
        </w:rPr>
        <w:t>de trabajo</w:t>
      </w:r>
      <w:r w:rsidR="00311071">
        <w:t xml:space="preserve"> </w:t>
      </w:r>
      <w:r>
        <w:t xml:space="preserve">en la que quieres realizar el </w:t>
      </w:r>
      <w:r w:rsidR="00311071">
        <w:t>procesado. Para elegir la región verás que</w:t>
      </w:r>
      <w:r w:rsidR="000D2EB8">
        <w:t xml:space="preserve"> aparece una cruz </w:t>
      </w:r>
      <w:r>
        <w:t>sobre la imagen</w:t>
      </w:r>
      <w:r w:rsidR="00311071">
        <w:t>.  D</w:t>
      </w:r>
      <w:r>
        <w:t xml:space="preserve">eberás hacer </w:t>
      </w:r>
      <w:r w:rsidR="007E1153">
        <w:t>clic</w:t>
      </w:r>
      <w:r>
        <w:t xml:space="preserve"> en dos puntos </w:t>
      </w:r>
      <w:r w:rsidR="00311071">
        <w:t xml:space="preserve">de la imagen </w:t>
      </w:r>
      <w:r>
        <w:t xml:space="preserve">que determinarán los </w:t>
      </w:r>
      <w:r w:rsidR="000D2EB8">
        <w:t xml:space="preserve">vértices </w:t>
      </w:r>
      <w:r>
        <w:t xml:space="preserve">de un rectángulo. Esa región </w:t>
      </w:r>
      <w:r w:rsidR="00311071">
        <w:t xml:space="preserve">de trabajo </w:t>
      </w:r>
      <w:r>
        <w:t>será en la que se</w:t>
      </w:r>
      <w:r w:rsidR="00311071">
        <w:t xml:space="preserve"> realicen todos los análisis, en su interior se intentarán</w:t>
      </w:r>
      <w:r>
        <w:t xml:space="preserve"> localizar las </w:t>
      </w:r>
      <w:proofErr w:type="spellStart"/>
      <w:r>
        <w:t>nanopartículas</w:t>
      </w:r>
      <w:proofErr w:type="spellEnd"/>
      <w:r>
        <w:t>.</w:t>
      </w:r>
      <w:r w:rsidR="007E1153">
        <w:t xml:space="preserve"> (En esa misma imagen, si es de un tipo conocido verás que ya aparece marcada en color la escala de la imagen, eso indica que ha identificado correctamente la longitud en </w:t>
      </w:r>
      <w:proofErr w:type="spellStart"/>
      <w:r w:rsidR="007E1153">
        <w:t>pixels</w:t>
      </w:r>
      <w:proofErr w:type="spellEnd"/>
      <w:r w:rsidR="007E1153">
        <w:t xml:space="preserve"> de la barra de escala).</w:t>
      </w:r>
    </w:p>
    <w:p w:rsidR="008E7CE7" w:rsidRDefault="008E7CE7" w:rsidP="005750E7">
      <w:pPr>
        <w:ind w:firstLine="709"/>
        <w:jc w:val="both"/>
      </w:pPr>
      <w:r>
        <w:t xml:space="preserve">A </w:t>
      </w:r>
      <w:r w:rsidR="000D2EB8">
        <w:t>continuación,</w:t>
      </w:r>
      <w:r>
        <w:t xml:space="preserve"> </w:t>
      </w:r>
      <w:r w:rsidR="000D2EB8">
        <w:t xml:space="preserve">el programa </w:t>
      </w:r>
      <w:r>
        <w:t>recortará automáticamente esa región de trabajo y en una nueva figura te pedirá que eli</w:t>
      </w:r>
      <w:r w:rsidR="007E1153">
        <w:t>jas otro recuadro que contenga</w:t>
      </w:r>
      <w:r>
        <w:t xml:space="preserve"> una de las </w:t>
      </w:r>
      <w:proofErr w:type="spellStart"/>
      <w:r>
        <w:t>nanopartículas</w:t>
      </w:r>
      <w:proofErr w:type="spellEnd"/>
      <w:r>
        <w:t xml:space="preserve"> que intentas medir. Este segundo paso tiene como objeto tener una estimación del tamaño de los objetos que buscas en la imagen.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0D2EB8" w:rsidTr="0042614B">
        <w:tc>
          <w:tcPr>
            <w:tcW w:w="10456" w:type="dxa"/>
          </w:tcPr>
          <w:p w:rsidR="000D2EB8" w:rsidRDefault="000D2EB8" w:rsidP="005750E7">
            <w:pPr>
              <w:ind w:firstLine="709"/>
              <w:jc w:val="both"/>
            </w:pPr>
          </w:p>
          <w:p w:rsidR="000D2EB8" w:rsidRDefault="000D2EB8" w:rsidP="00F11637">
            <w:pPr>
              <w:jc w:val="center"/>
            </w:pPr>
            <w:r>
              <w:object w:dxaOrig="16695" w:dyaOrig="12120">
                <v:shape id="_x0000_i1028" type="#_x0000_t75" style="width:230.25pt;height:166.5pt" o:ole="">
                  <v:imagedata r:id="rId12" o:title=""/>
                </v:shape>
                <o:OLEObject Type="Embed" ProgID="PBrush" ShapeID="_x0000_i1028" DrawAspect="Content" ObjectID="_1726998226" r:id="rId13"/>
              </w:object>
            </w:r>
          </w:p>
          <w:p w:rsidR="000D2EB8" w:rsidRDefault="000D2EB8" w:rsidP="005750E7">
            <w:pPr>
              <w:ind w:firstLine="709"/>
              <w:jc w:val="both"/>
            </w:pPr>
          </w:p>
        </w:tc>
      </w:tr>
      <w:tr w:rsidR="000D2EB8" w:rsidTr="0042614B">
        <w:tc>
          <w:tcPr>
            <w:tcW w:w="10456" w:type="dxa"/>
          </w:tcPr>
          <w:p w:rsidR="000D2EB8" w:rsidRPr="001271FE" w:rsidRDefault="000D2EB8" w:rsidP="007E1153">
            <w:pPr>
              <w:ind w:firstLine="709"/>
              <w:jc w:val="center"/>
              <w:rPr>
                <w:i/>
              </w:rPr>
            </w:pPr>
            <w:r w:rsidRPr="001271FE">
              <w:rPr>
                <w:i/>
              </w:rPr>
              <w:t>Selección de una partícula de ejemplo.</w:t>
            </w:r>
          </w:p>
        </w:tc>
      </w:tr>
    </w:tbl>
    <w:p w:rsidR="00EA2DBA" w:rsidRDefault="00EA2DBA" w:rsidP="005750E7">
      <w:pPr>
        <w:ind w:firstLine="709"/>
        <w:jc w:val="both"/>
      </w:pPr>
    </w:p>
    <w:p w:rsidR="000D2EB8" w:rsidRDefault="000D2EB8" w:rsidP="005750E7">
      <w:pPr>
        <w:ind w:firstLine="709"/>
        <w:jc w:val="both"/>
      </w:pPr>
      <w:r>
        <w:t xml:space="preserve">Ya está todo listo para detectar las partículas, tan solo tienes que hacer </w:t>
      </w:r>
      <w:r w:rsidR="007E1153">
        <w:t>clic</w:t>
      </w:r>
      <w:r>
        <w:t xml:space="preserve"> en el botón “</w:t>
      </w:r>
      <w:proofErr w:type="spellStart"/>
      <w:r w:rsidRPr="007E1153">
        <w:rPr>
          <w:b/>
        </w:rPr>
        <w:t>Find</w:t>
      </w:r>
      <w:proofErr w:type="spellEnd"/>
      <w:r w:rsidRPr="007E1153">
        <w:rPr>
          <w:b/>
        </w:rPr>
        <w:t xml:space="preserve"> </w:t>
      </w:r>
      <w:proofErr w:type="spellStart"/>
      <w:r w:rsidRPr="007E1153">
        <w:rPr>
          <w:b/>
        </w:rPr>
        <w:t>Parts</w:t>
      </w:r>
      <w:proofErr w:type="spellEnd"/>
      <w:r>
        <w:t>” y el software detectará las partículas en la imagen de prueba</w:t>
      </w:r>
      <w:r w:rsidR="00972094">
        <w:t>. La aplicación identificará</w:t>
      </w:r>
      <w:r>
        <w:t xml:space="preserve"> el área </w:t>
      </w:r>
      <w:r w:rsidR="00972094">
        <w:t xml:space="preserve">correspondiente a </w:t>
      </w:r>
      <w:r>
        <w:t xml:space="preserve">cada una de </w:t>
      </w:r>
      <w:r w:rsidR="00972094">
        <w:t>las partículas</w:t>
      </w:r>
      <w:r>
        <w:t xml:space="preserve"> </w:t>
      </w:r>
      <w:r w:rsidR="00972094">
        <w:t xml:space="preserve">y </w:t>
      </w:r>
      <w:r>
        <w:t>con esa área calculará la posición del centro de masas</w:t>
      </w:r>
      <w:r w:rsidR="00972094">
        <w:t xml:space="preserve">. Al final </w:t>
      </w:r>
      <w:r>
        <w:t xml:space="preserve">mostrará un circulo de área equivalente </w:t>
      </w:r>
      <w:r w:rsidR="00972094">
        <w:t xml:space="preserve">a la de la partícula </w:t>
      </w:r>
      <w:r>
        <w:t>ubicado en la posición del centro de masas.</w:t>
      </w:r>
    </w:p>
    <w:p w:rsidR="00EA2DBA" w:rsidRDefault="00EA2DBA" w:rsidP="005750E7">
      <w:pPr>
        <w:ind w:firstLine="709"/>
        <w:jc w:val="both"/>
      </w:pPr>
      <w:r>
        <w:t xml:space="preserve">Para mostrar el histograma de diámetros de las partículas identificadas puedes hacer </w:t>
      </w:r>
      <w:r w:rsidR="00972094">
        <w:t>clic</w:t>
      </w:r>
      <w:r>
        <w:t xml:space="preserve"> en la opción “</w:t>
      </w:r>
      <w:r w:rsidRPr="00972094">
        <w:rPr>
          <w:b/>
        </w:rPr>
        <w:t>Histograma</w:t>
      </w:r>
      <w:r>
        <w:t>” de la aplicación</w:t>
      </w:r>
      <w:r w:rsidR="00972094">
        <w:t>. S</w:t>
      </w:r>
      <w:r>
        <w:t>i quieres ver la forma de las regiones que ha detectado</w:t>
      </w:r>
      <w:r w:rsidR="00972094">
        <w:t>, para comprobar si hay solapes,</w:t>
      </w:r>
      <w:r>
        <w:t xml:space="preserve"> puedes hacer </w:t>
      </w:r>
      <w:r w:rsidR="00972094">
        <w:t>clic</w:t>
      </w:r>
      <w:r>
        <w:t xml:space="preserve"> en “</w:t>
      </w:r>
      <w:r w:rsidRPr="00972094">
        <w:rPr>
          <w:b/>
        </w:rPr>
        <w:t xml:space="preserve">mostrar </w:t>
      </w:r>
      <w:proofErr w:type="spellStart"/>
      <w:r w:rsidRPr="00972094">
        <w:rPr>
          <w:b/>
        </w:rPr>
        <w:t>area</w:t>
      </w:r>
      <w:proofErr w:type="spellEnd"/>
      <w:r>
        <w:t>”</w:t>
      </w:r>
      <w:r w:rsidR="00972094">
        <w:t xml:space="preserve"> (recuerda que las áreas las muestra en </w:t>
      </w:r>
      <w:proofErr w:type="spellStart"/>
      <w:r w:rsidR="00972094">
        <w:t>pixels</w:t>
      </w:r>
      <w:proofErr w:type="spellEnd"/>
      <w:r w:rsidR="00972094">
        <w:t>)</w:t>
      </w:r>
      <w:r>
        <w:t>.</w:t>
      </w:r>
    </w:p>
    <w:p w:rsidR="00972094" w:rsidRDefault="001271FE" w:rsidP="005750E7">
      <w:pPr>
        <w:ind w:firstLine="709"/>
        <w:jc w:val="both"/>
      </w:pPr>
      <w:r>
        <w:t>Puedes añadir o quitar partículas que creas que no ha</w:t>
      </w:r>
      <w:r w:rsidR="00972094">
        <w:t>n sido</w:t>
      </w:r>
      <w:r>
        <w:t xml:space="preserve"> identificad</w:t>
      </w:r>
      <w:r w:rsidR="00972094">
        <w:t>as</w:t>
      </w:r>
      <w:r>
        <w:t xml:space="preserve"> correctamente. Para ello usa el botón “</w:t>
      </w:r>
      <w:proofErr w:type="spellStart"/>
      <w:r w:rsidR="00621219">
        <w:rPr>
          <w:b/>
        </w:rPr>
        <w:t>Add</w:t>
      </w:r>
      <w:proofErr w:type="spellEnd"/>
      <w:r w:rsidR="00621219">
        <w:rPr>
          <w:b/>
        </w:rPr>
        <w:t>/</w:t>
      </w:r>
      <w:proofErr w:type="spellStart"/>
      <w:r w:rsidR="00621219">
        <w:rPr>
          <w:b/>
        </w:rPr>
        <w:t>Detele</w:t>
      </w:r>
      <w:proofErr w:type="spellEnd"/>
      <w:r>
        <w:t xml:space="preserve">”. Si haces </w:t>
      </w:r>
      <w:r w:rsidR="00972094">
        <w:t>clic</w:t>
      </w:r>
      <w:r>
        <w:t xml:space="preserve"> </w:t>
      </w:r>
      <w:r w:rsidR="00972094">
        <w:t xml:space="preserve">con el botón izquierdo </w:t>
      </w:r>
      <w:r>
        <w:t>cerca del centro de una partícula identificada</w:t>
      </w:r>
      <w:r w:rsidR="00621219">
        <w:t>,</w:t>
      </w:r>
      <w:r>
        <w:t xml:space="preserve"> esta se</w:t>
      </w:r>
      <w:r w:rsidR="00972094">
        <w:t xml:space="preserve"> marcará para eliminación</w:t>
      </w:r>
      <w:r>
        <w:t xml:space="preserve">. </w:t>
      </w:r>
      <w:r w:rsidR="00972094">
        <w:t xml:space="preserve">Cuando termines de marcar partículas para eliminación haz clic con el botón derecho o pulsa escape. </w:t>
      </w:r>
    </w:p>
    <w:p w:rsidR="00972094" w:rsidRDefault="001271FE" w:rsidP="005750E7">
      <w:pPr>
        <w:ind w:firstLine="709"/>
        <w:jc w:val="both"/>
      </w:pPr>
      <w:r>
        <w:t xml:space="preserve">Si haces </w:t>
      </w:r>
      <w:r w:rsidR="00972094">
        <w:lastRenderedPageBreak/>
        <w:t>clic</w:t>
      </w:r>
      <w:r>
        <w:t xml:space="preserve"> en una región en la que hay una partícula que no ha sido identificada, se volverá a intentar localizar una partícula en esa región. Si ves que la región elegida, </w:t>
      </w:r>
      <w:r w:rsidRPr="005F6778">
        <w:rPr>
          <w:b/>
        </w:rPr>
        <w:t>marcada en azul</w:t>
      </w:r>
      <w:r>
        <w:t xml:space="preserve"> durante el proceso es muy grande o muy pequeña puedes pulsar en </w:t>
      </w:r>
      <w:r w:rsidR="00972094">
        <w:t>“</w:t>
      </w:r>
      <w:proofErr w:type="spellStart"/>
      <w:r w:rsidR="00972094">
        <w:t>AvPag</w:t>
      </w:r>
      <w:proofErr w:type="spellEnd"/>
      <w:r w:rsidR="00972094">
        <w:t xml:space="preserve">” </w:t>
      </w:r>
      <w:r>
        <w:t xml:space="preserve">o en </w:t>
      </w:r>
      <w:r w:rsidR="00972094">
        <w:t>“</w:t>
      </w:r>
      <w:proofErr w:type="spellStart"/>
      <w:r w:rsidR="00972094">
        <w:t>RePag</w:t>
      </w:r>
      <w:proofErr w:type="spellEnd"/>
      <w:r w:rsidR="00972094">
        <w:t>”</w:t>
      </w:r>
      <w:r>
        <w:t xml:space="preserve"> durante este proceso para cambiar las dimensiones de la región de búsqueda.</w:t>
      </w:r>
      <w:r w:rsidR="00621219">
        <w:t xml:space="preserve"> </w:t>
      </w:r>
    </w:p>
    <w:p w:rsidR="001271FE" w:rsidRDefault="00972094" w:rsidP="005750E7">
      <w:pPr>
        <w:ind w:firstLine="709"/>
        <w:jc w:val="both"/>
      </w:pPr>
      <w:r>
        <w:t xml:space="preserve">Dispones de </w:t>
      </w:r>
      <w:r w:rsidR="00621219">
        <w:t xml:space="preserve">una </w:t>
      </w:r>
      <w:r>
        <w:t>“</w:t>
      </w:r>
      <w:r w:rsidR="00621219">
        <w:t>función oculta</w:t>
      </w:r>
      <w:r>
        <w:t>”</w:t>
      </w:r>
      <w:r w:rsidR="00621219">
        <w:t>, que permite medir distancias</w:t>
      </w:r>
      <w:r>
        <w:t>. P</w:t>
      </w:r>
      <w:r w:rsidR="00621219">
        <w:t>ara ello</w:t>
      </w:r>
      <w:r>
        <w:t>, mientras estés en modo “</w:t>
      </w:r>
      <w:proofErr w:type="spellStart"/>
      <w:r>
        <w:t>Add</w:t>
      </w:r>
      <w:proofErr w:type="spellEnd"/>
      <w:r>
        <w:t>/</w:t>
      </w:r>
      <w:proofErr w:type="spellStart"/>
      <w:r>
        <w:t>Delete</w:t>
      </w:r>
      <w:proofErr w:type="spellEnd"/>
      <w:r>
        <w:t>”</w:t>
      </w:r>
      <w:r w:rsidR="00621219">
        <w:t xml:space="preserve"> pulsa 1 en </w:t>
      </w:r>
      <w:r>
        <w:t>un</w:t>
      </w:r>
      <w:r w:rsidR="00621219">
        <w:t xml:space="preserve"> punto de </w:t>
      </w:r>
      <w:r>
        <w:t>la imagen</w:t>
      </w:r>
      <w:r w:rsidR="00303048">
        <w:t xml:space="preserve">, </w:t>
      </w:r>
      <w:r>
        <w:t>punto origen</w:t>
      </w:r>
      <w:r w:rsidR="00303048">
        <w:t>,</w:t>
      </w:r>
      <w:r w:rsidR="00621219">
        <w:t xml:space="preserve"> y pulsa 2 en el punto </w:t>
      </w:r>
      <w:r w:rsidR="00303048">
        <w:t>destino</w:t>
      </w:r>
      <w:r w:rsidR="00621219">
        <w:t xml:space="preserve">. Al hacerlo te aparecerá un mensaje </w:t>
      </w:r>
      <w:r w:rsidR="00303048">
        <w:t xml:space="preserve">en el título de la imagen </w:t>
      </w:r>
      <w:r w:rsidR="00621219">
        <w:t xml:space="preserve">con la información de </w:t>
      </w:r>
      <w:r w:rsidR="00303048">
        <w:t xml:space="preserve">la distancia entre ambos puntos, en </w:t>
      </w:r>
      <w:proofErr w:type="spellStart"/>
      <w:r w:rsidR="00303048">
        <w:t>nm</w:t>
      </w:r>
      <w:proofErr w:type="spellEnd"/>
      <w:r w:rsidR="00303048">
        <w:t>.</w:t>
      </w:r>
    </w:p>
    <w:p w:rsidR="001271FE" w:rsidRDefault="005F6778" w:rsidP="005750E7">
      <w:pPr>
        <w:ind w:firstLine="709"/>
        <w:jc w:val="both"/>
      </w:pPr>
      <w:r>
        <w:t>Por otra parte, p</w:t>
      </w:r>
      <w:r w:rsidR="001271FE">
        <w:t xml:space="preserve">uedes modificar tanto las posiciones de los círculos detectados como el tamaño si crees que no los ha identificado correctamente, para ello </w:t>
      </w:r>
      <w:r w:rsidR="00303048">
        <w:t>pulsa</w:t>
      </w:r>
      <w:r w:rsidR="001271FE">
        <w:t xml:space="preserve"> el botón “</w:t>
      </w:r>
      <w:proofErr w:type="spellStart"/>
      <w:r w:rsidR="00303048">
        <w:rPr>
          <w:b/>
        </w:rPr>
        <w:t>Resize</w:t>
      </w:r>
      <w:proofErr w:type="spellEnd"/>
      <w:r w:rsidR="00303048">
        <w:rPr>
          <w:b/>
        </w:rPr>
        <w:t>/</w:t>
      </w:r>
      <w:proofErr w:type="spellStart"/>
      <w:r w:rsidR="00303048">
        <w:rPr>
          <w:b/>
        </w:rPr>
        <w:t>Move</w:t>
      </w:r>
      <w:proofErr w:type="spellEnd"/>
      <w:r w:rsidR="001271FE">
        <w:t xml:space="preserve">”. Tan solo tienes que situar el cursor sobre uno de los círculos </w:t>
      </w:r>
      <w:r w:rsidR="00303048">
        <w:t xml:space="preserve">detectados </w:t>
      </w:r>
      <w:r w:rsidR="001271FE">
        <w:t>y pulsar alguna de las teclas que se indican a continuación:</w:t>
      </w:r>
    </w:p>
    <w:p w:rsidR="001271FE" w:rsidRDefault="001271FE" w:rsidP="005750E7">
      <w:pPr>
        <w:pStyle w:val="Prrafodelista"/>
        <w:numPr>
          <w:ilvl w:val="0"/>
          <w:numId w:val="1"/>
        </w:numPr>
        <w:jc w:val="both"/>
      </w:pPr>
      <w:r>
        <w:t>“Flecha Arriba / numero 8”: Para desplazar el centro hacia arriba.</w:t>
      </w:r>
    </w:p>
    <w:p w:rsidR="001271FE" w:rsidRDefault="001271FE" w:rsidP="005750E7">
      <w:pPr>
        <w:pStyle w:val="Prrafodelista"/>
        <w:numPr>
          <w:ilvl w:val="0"/>
          <w:numId w:val="1"/>
        </w:numPr>
        <w:jc w:val="both"/>
      </w:pPr>
      <w:r>
        <w:t>“Flecha Abajo / numero 2”: Para desplazar el centro hacia abajo.</w:t>
      </w:r>
    </w:p>
    <w:p w:rsidR="001271FE" w:rsidRDefault="001271FE" w:rsidP="005750E7">
      <w:pPr>
        <w:pStyle w:val="Prrafodelista"/>
        <w:numPr>
          <w:ilvl w:val="0"/>
          <w:numId w:val="1"/>
        </w:numPr>
        <w:jc w:val="both"/>
      </w:pPr>
      <w:r>
        <w:t>“Flecha Izquierda / numero 4”: Para desplazar el centro hacia la izda.</w:t>
      </w:r>
    </w:p>
    <w:p w:rsidR="001271FE" w:rsidRDefault="001271FE" w:rsidP="005750E7">
      <w:pPr>
        <w:pStyle w:val="Prrafodelista"/>
        <w:numPr>
          <w:ilvl w:val="0"/>
          <w:numId w:val="1"/>
        </w:numPr>
        <w:jc w:val="both"/>
      </w:pPr>
      <w:r>
        <w:t>“Flecha Derecha / numero 6”: Para desplazar el centro hacia la derecha.</w:t>
      </w:r>
    </w:p>
    <w:p w:rsidR="001271FE" w:rsidRDefault="001271FE" w:rsidP="005750E7">
      <w:pPr>
        <w:pStyle w:val="Prrafodelista"/>
        <w:numPr>
          <w:ilvl w:val="0"/>
          <w:numId w:val="1"/>
        </w:numPr>
        <w:jc w:val="both"/>
      </w:pPr>
      <w:r>
        <w:t>“</w:t>
      </w:r>
      <w:proofErr w:type="spellStart"/>
      <w:r>
        <w:t>Boton</w:t>
      </w:r>
      <w:proofErr w:type="spellEnd"/>
      <w:r>
        <w:t xml:space="preserve"> izquierdo del ratón o tecla +</w:t>
      </w:r>
      <w:proofErr w:type="gramStart"/>
      <w:r>
        <w:t>” :</w:t>
      </w:r>
      <w:proofErr w:type="gramEnd"/>
      <w:r>
        <w:t xml:space="preserve"> Para aumentar el radio del círculo.</w:t>
      </w:r>
    </w:p>
    <w:p w:rsidR="001271FE" w:rsidRDefault="001271FE" w:rsidP="005750E7">
      <w:pPr>
        <w:pStyle w:val="Prrafodelista"/>
        <w:numPr>
          <w:ilvl w:val="0"/>
          <w:numId w:val="1"/>
        </w:numPr>
        <w:jc w:val="both"/>
      </w:pPr>
      <w:r>
        <w:t>“</w:t>
      </w:r>
      <w:proofErr w:type="spellStart"/>
      <w:r>
        <w:t>Boton</w:t>
      </w:r>
      <w:proofErr w:type="spellEnd"/>
      <w:r>
        <w:t xml:space="preserve"> derecho del ratón o tecla -</w:t>
      </w:r>
      <w:proofErr w:type="gramStart"/>
      <w:r>
        <w:t>” :</w:t>
      </w:r>
      <w:proofErr w:type="gramEnd"/>
      <w:r>
        <w:t xml:space="preserve"> Para aumentar el radio del círculo.</w:t>
      </w:r>
    </w:p>
    <w:p w:rsidR="001271FE" w:rsidRDefault="001271FE" w:rsidP="005750E7">
      <w:pPr>
        <w:pStyle w:val="Prrafodelista"/>
        <w:numPr>
          <w:ilvl w:val="0"/>
          <w:numId w:val="1"/>
        </w:numPr>
        <w:jc w:val="both"/>
      </w:pPr>
      <w:r>
        <w:t xml:space="preserve">“número 9”: Para aumentar el paso de los </w:t>
      </w:r>
      <w:r w:rsidR="00303048">
        <w:t xml:space="preserve">desplazamientos, el </w:t>
      </w:r>
      <w:r>
        <w:t>diámetro</w:t>
      </w:r>
      <w:r w:rsidR="00303048">
        <w:t xml:space="preserve"> o la rotación</w:t>
      </w:r>
      <w:r>
        <w:t>.</w:t>
      </w:r>
    </w:p>
    <w:p w:rsidR="001271FE" w:rsidRDefault="001271FE" w:rsidP="005750E7">
      <w:pPr>
        <w:pStyle w:val="Prrafodelista"/>
        <w:numPr>
          <w:ilvl w:val="0"/>
          <w:numId w:val="1"/>
        </w:numPr>
        <w:jc w:val="both"/>
      </w:pPr>
      <w:r>
        <w:t xml:space="preserve">“número 3”: Para disminuir el paso tanto </w:t>
      </w:r>
      <w:r w:rsidR="00303048">
        <w:t xml:space="preserve">de los </w:t>
      </w:r>
      <w:r w:rsidR="00303048">
        <w:t>desplazamientos,</w:t>
      </w:r>
      <w:r w:rsidR="00303048">
        <w:t xml:space="preserve"> el diámetro o la rotación.</w:t>
      </w:r>
    </w:p>
    <w:p w:rsidR="00621219" w:rsidRDefault="00621219" w:rsidP="005750E7">
      <w:pPr>
        <w:pStyle w:val="Prrafodelista"/>
        <w:numPr>
          <w:ilvl w:val="0"/>
          <w:numId w:val="1"/>
        </w:numPr>
        <w:jc w:val="both"/>
      </w:pPr>
      <w:r>
        <w:t>“Tecla d”: Para eliminar una partícula sin tener que cambiar al modo &lt;</w:t>
      </w:r>
      <w:proofErr w:type="spellStart"/>
      <w:r>
        <w:t>Add</w:t>
      </w:r>
      <w:proofErr w:type="spellEnd"/>
      <w:r>
        <w:t>/</w:t>
      </w:r>
      <w:proofErr w:type="spellStart"/>
      <w:r>
        <w:t>Delete</w:t>
      </w:r>
      <w:proofErr w:type="spellEnd"/>
      <w:r>
        <w:t>&gt;.</w:t>
      </w:r>
    </w:p>
    <w:p w:rsidR="001271FE" w:rsidRDefault="00303048" w:rsidP="005750E7">
      <w:pPr>
        <w:jc w:val="both"/>
      </w:pPr>
      <w:r>
        <w:t>Puedes simplemente hacer clic</w:t>
      </w:r>
      <w:r w:rsidR="001271FE">
        <w:t xml:space="preserve"> con el botón izquierdo para aumentar el tamaño de las partículas y con el derecho para disminuir de tamaño los círculos, sitúate sobre una partícula y prueba a hacer </w:t>
      </w:r>
      <w:r>
        <w:t>clic</w:t>
      </w:r>
      <w:r w:rsidR="001271FE">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3"/>
      </w:tblGrid>
      <w:tr w:rsidR="00EA2DBA" w:rsidTr="00EA2DBA">
        <w:tc>
          <w:tcPr>
            <w:tcW w:w="5233" w:type="dxa"/>
          </w:tcPr>
          <w:p w:rsidR="00EA2DBA" w:rsidRDefault="00EA2DBA" w:rsidP="005750E7">
            <w:pPr>
              <w:ind w:firstLine="709"/>
              <w:jc w:val="both"/>
            </w:pPr>
          </w:p>
          <w:p w:rsidR="00EA2DBA" w:rsidRDefault="00EA2DBA" w:rsidP="00F11637">
            <w:pPr>
              <w:jc w:val="center"/>
            </w:pPr>
            <w:r>
              <w:rPr>
                <w:noProof/>
                <w:lang w:val="en-US"/>
              </w:rPr>
              <w:drawing>
                <wp:inline distT="0" distB="0" distL="0" distR="0" wp14:anchorId="7C0715A3" wp14:editId="36D5FF0F">
                  <wp:extent cx="2372360" cy="1722262"/>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9151" cy="1727192"/>
                          </a:xfrm>
                          <a:prstGeom prst="rect">
                            <a:avLst/>
                          </a:prstGeom>
                        </pic:spPr>
                      </pic:pic>
                    </a:graphicData>
                  </a:graphic>
                </wp:inline>
              </w:drawing>
            </w:r>
          </w:p>
          <w:p w:rsidR="00EA2DBA" w:rsidRDefault="00EA2DBA" w:rsidP="005750E7">
            <w:pPr>
              <w:ind w:firstLine="709"/>
              <w:jc w:val="both"/>
            </w:pPr>
          </w:p>
        </w:tc>
        <w:tc>
          <w:tcPr>
            <w:tcW w:w="5233" w:type="dxa"/>
          </w:tcPr>
          <w:p w:rsidR="00EA2DBA" w:rsidRDefault="00EA2DBA" w:rsidP="005750E7">
            <w:pPr>
              <w:ind w:firstLine="709"/>
              <w:jc w:val="both"/>
            </w:pPr>
          </w:p>
          <w:p w:rsidR="00EA2DBA" w:rsidRDefault="00EA2DBA" w:rsidP="00F11637">
            <w:pPr>
              <w:jc w:val="center"/>
            </w:pPr>
            <w:r>
              <w:rPr>
                <w:noProof/>
                <w:lang w:val="en-US"/>
              </w:rPr>
              <w:drawing>
                <wp:inline distT="0" distB="0" distL="0" distR="0" wp14:anchorId="3E0DA8B4" wp14:editId="07F9541A">
                  <wp:extent cx="1912710" cy="17221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4616" cy="1741843"/>
                          </a:xfrm>
                          <a:prstGeom prst="rect">
                            <a:avLst/>
                          </a:prstGeom>
                        </pic:spPr>
                      </pic:pic>
                    </a:graphicData>
                  </a:graphic>
                </wp:inline>
              </w:drawing>
            </w:r>
          </w:p>
          <w:p w:rsidR="00EA2DBA" w:rsidRDefault="00EA2DBA" w:rsidP="005750E7">
            <w:pPr>
              <w:ind w:firstLine="709"/>
              <w:jc w:val="both"/>
            </w:pPr>
          </w:p>
        </w:tc>
      </w:tr>
      <w:tr w:rsidR="00EA2DBA" w:rsidTr="005A1963">
        <w:tc>
          <w:tcPr>
            <w:tcW w:w="10466" w:type="dxa"/>
            <w:gridSpan w:val="2"/>
          </w:tcPr>
          <w:p w:rsidR="00EA2DBA" w:rsidRPr="005F6778" w:rsidRDefault="00EA2DBA" w:rsidP="00303048">
            <w:pPr>
              <w:ind w:firstLine="709"/>
              <w:jc w:val="center"/>
              <w:rPr>
                <w:i/>
              </w:rPr>
            </w:pPr>
            <w:r w:rsidRPr="005F6778">
              <w:rPr>
                <w:i/>
              </w:rPr>
              <w:t>Círculos detectados indicando las posiciones de las partículas, y el histograma.</w:t>
            </w:r>
          </w:p>
        </w:tc>
      </w:tr>
    </w:tbl>
    <w:p w:rsidR="00303048" w:rsidRDefault="00303048" w:rsidP="00303048">
      <w:pPr>
        <w:pStyle w:val="Ttulo1"/>
        <w:jc w:val="both"/>
        <w:rPr>
          <w:b/>
        </w:rPr>
      </w:pPr>
    </w:p>
    <w:p w:rsidR="00303048" w:rsidRDefault="00303048">
      <w:pPr>
        <w:rPr>
          <w:rFonts w:asciiTheme="majorHAnsi" w:eastAsiaTheme="majorEastAsia" w:hAnsiTheme="majorHAnsi" w:cstheme="majorBidi"/>
          <w:b/>
          <w:color w:val="1F4E79" w:themeColor="accent1" w:themeShade="80"/>
          <w:sz w:val="36"/>
          <w:szCs w:val="36"/>
        </w:rPr>
      </w:pPr>
      <w:r>
        <w:rPr>
          <w:b/>
        </w:rPr>
        <w:br w:type="page"/>
      </w:r>
    </w:p>
    <w:p w:rsidR="00406B16" w:rsidRPr="00406B16" w:rsidRDefault="00406B16" w:rsidP="005750E7">
      <w:pPr>
        <w:pStyle w:val="Ttulo1"/>
        <w:ind w:firstLine="709"/>
        <w:jc w:val="both"/>
        <w:rPr>
          <w:b/>
        </w:rPr>
      </w:pPr>
      <w:r w:rsidRPr="00406B16">
        <w:rPr>
          <w:b/>
        </w:rPr>
        <w:t>Notas del programa</w:t>
      </w:r>
    </w:p>
    <w:p w:rsidR="00F96869" w:rsidRDefault="00F96869" w:rsidP="005750E7">
      <w:pPr>
        <w:ind w:firstLine="709"/>
        <w:jc w:val="both"/>
      </w:pPr>
      <w:r>
        <w:t xml:space="preserve">Por defecto el programa identifica la región de la imagen en la que se encuentra la escala. La detección automática lo que hace es contar el número de pixeles de ancho de la escala para usarlo durante la conversión de pixeles a </w:t>
      </w:r>
      <w:proofErr w:type="spellStart"/>
      <w:r>
        <w:t>nm</w:t>
      </w:r>
      <w:proofErr w:type="spellEnd"/>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221"/>
      </w:tblGrid>
      <w:tr w:rsidR="001B6881" w:rsidTr="001B6881">
        <w:tc>
          <w:tcPr>
            <w:tcW w:w="5245" w:type="dxa"/>
          </w:tcPr>
          <w:p w:rsidR="001B6881" w:rsidRDefault="001B6881" w:rsidP="005750E7">
            <w:pPr>
              <w:ind w:firstLine="709"/>
              <w:jc w:val="both"/>
            </w:pPr>
          </w:p>
          <w:p w:rsidR="001B6881" w:rsidRDefault="001B6881" w:rsidP="00F11637">
            <w:pPr>
              <w:jc w:val="center"/>
            </w:pPr>
            <w:r>
              <w:rPr>
                <w:noProof/>
                <w:lang w:val="en-US"/>
              </w:rPr>
              <w:drawing>
                <wp:inline distT="0" distB="0" distL="0" distR="0" wp14:anchorId="4240ED5F" wp14:editId="4FDF38A4">
                  <wp:extent cx="2257425" cy="1323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1323975"/>
                          </a:xfrm>
                          <a:prstGeom prst="rect">
                            <a:avLst/>
                          </a:prstGeom>
                          <a:noFill/>
                          <a:ln>
                            <a:noFill/>
                          </a:ln>
                        </pic:spPr>
                      </pic:pic>
                    </a:graphicData>
                  </a:graphic>
                </wp:inline>
              </w:drawing>
            </w:r>
          </w:p>
        </w:tc>
        <w:tc>
          <w:tcPr>
            <w:tcW w:w="5221" w:type="dxa"/>
          </w:tcPr>
          <w:p w:rsidR="001B6881" w:rsidRDefault="001B6881" w:rsidP="001B6881">
            <w:pPr>
              <w:jc w:val="center"/>
            </w:pPr>
          </w:p>
          <w:p w:rsidR="001B6881" w:rsidRDefault="001B6881" w:rsidP="001B6881">
            <w:pPr>
              <w:jc w:val="center"/>
            </w:pPr>
            <w:r>
              <w:object w:dxaOrig="3435" w:dyaOrig="1815">
                <v:shape id="_x0000_i1029" type="#_x0000_t75" style="width:171.75pt;height:90.75pt" o:ole="">
                  <v:imagedata r:id="rId17" o:title=""/>
                </v:shape>
                <o:OLEObject Type="Embed" ProgID="PBrush" ShapeID="_x0000_i1029" DrawAspect="Content" ObjectID="_1726998227" r:id="rId18"/>
              </w:object>
            </w:r>
          </w:p>
        </w:tc>
      </w:tr>
      <w:tr w:rsidR="001B6881" w:rsidTr="009A4469">
        <w:tc>
          <w:tcPr>
            <w:tcW w:w="10466" w:type="dxa"/>
            <w:gridSpan w:val="2"/>
          </w:tcPr>
          <w:p w:rsidR="001B6881" w:rsidRDefault="001B6881" w:rsidP="00303048">
            <w:pPr>
              <w:ind w:firstLine="709"/>
              <w:jc w:val="center"/>
              <w:rPr>
                <w:i/>
              </w:rPr>
            </w:pPr>
            <w:r>
              <w:rPr>
                <w:i/>
              </w:rPr>
              <w:t>Confirmación visual de que la escala ha sido leída correctamente.</w:t>
            </w:r>
          </w:p>
        </w:tc>
      </w:tr>
    </w:tbl>
    <w:p w:rsidR="00F96869" w:rsidRDefault="00F96869" w:rsidP="005750E7">
      <w:pPr>
        <w:ind w:firstLine="709"/>
        <w:jc w:val="both"/>
      </w:pPr>
    </w:p>
    <w:p w:rsidR="00406B16" w:rsidRDefault="00F96869" w:rsidP="005750E7">
      <w:pPr>
        <w:ind w:firstLine="709"/>
        <w:jc w:val="both"/>
      </w:pPr>
      <w:r>
        <w:t xml:space="preserve">Esta detección </w:t>
      </w:r>
      <w:r w:rsidRPr="00303048">
        <w:rPr>
          <w:b/>
        </w:rPr>
        <w:t>no lee el número que hay escrito</w:t>
      </w:r>
      <w:r>
        <w:t xml:space="preserve"> en la imagen, tan solo extrae la imagen que contiene el número escrito en texto. Es responsabilidad del usuario confirmar que el número que se indica en la información visual de la escala coincide con el número </w:t>
      </w:r>
      <w:r w:rsidR="001B6881">
        <w:t>escrito en el cuadro de texto blanco</w:t>
      </w:r>
      <w:r>
        <w:t xml:space="preserve"> en </w:t>
      </w:r>
      <w:proofErr w:type="spellStart"/>
      <w:r>
        <w:t>nm</w:t>
      </w:r>
      <w:proofErr w:type="spellEnd"/>
      <w:r>
        <w:t xml:space="preserve">. Para garantizar que ese paso se haga correctamente se ha añadido la casilla </w:t>
      </w:r>
      <w:r w:rsidR="00303048">
        <w:t>“</w:t>
      </w:r>
      <w:r w:rsidR="00303048">
        <w:rPr>
          <w:b/>
        </w:rPr>
        <w:t>V</w:t>
      </w:r>
      <w:r w:rsidRPr="00303048">
        <w:rPr>
          <w:b/>
        </w:rPr>
        <w:t>erifica</w:t>
      </w:r>
      <w:r w:rsidR="00303048">
        <w:rPr>
          <w:b/>
        </w:rPr>
        <w:t>da Ok</w:t>
      </w:r>
      <w:r w:rsidR="00303048">
        <w:t>”</w:t>
      </w:r>
      <w:r>
        <w:t xml:space="preserve"> que el usuario ha de marcar tras comprobar que la información de pantalla coincide </w:t>
      </w:r>
      <w:r w:rsidR="00303048">
        <w:t>con</w:t>
      </w:r>
      <w:r>
        <w:t xml:space="preserve"> la que ve en la imagen.</w:t>
      </w:r>
      <w:r w:rsidR="001B6881">
        <w:t xml:space="preserve"> Es muy importante que el usuario revise la imagen original y </w:t>
      </w:r>
      <w:r w:rsidR="00303048">
        <w:t>amplíe</w:t>
      </w:r>
      <w:r w:rsidR="001B6881">
        <w:t xml:space="preserve"> la región donde está la escala </w:t>
      </w:r>
      <w:r w:rsidR="00303048">
        <w:t>para comprobar que la detección es correcta, ya que este factor de conversión se aplicará a todos los datos medidos en píxeles.</w:t>
      </w:r>
    </w:p>
    <w:p w:rsidR="00F776E7" w:rsidRDefault="00303048" w:rsidP="005750E7">
      <w:pPr>
        <w:ind w:firstLine="709"/>
        <w:jc w:val="both"/>
      </w:pPr>
      <w:r>
        <w:t xml:space="preserve">Hay ciertos casos en los que la aplicación detecta mal los radios. Por </w:t>
      </w:r>
      <w:proofErr w:type="gramStart"/>
      <w:r>
        <w:t>ejemplo</w:t>
      </w:r>
      <w:proofErr w:type="gramEnd"/>
      <w:r>
        <w:t xml:space="preserve"> c</w:t>
      </w:r>
      <w:r w:rsidR="00F776E7">
        <w:t xml:space="preserve">uando el resultado de la detección sea inesperado, y por ejemplo todas las detecciones devuelvan radios mucho mayores de los reales, prueba a invertir el color de la imagen. Y a continuación vuelve a hacer la búsqueda de partículas. </w:t>
      </w:r>
    </w:p>
    <w:p w:rsidR="00303048" w:rsidRDefault="00303048" w:rsidP="00303048">
      <w:pPr>
        <w:ind w:firstLine="709"/>
        <w:jc w:val="both"/>
      </w:pPr>
      <w:r>
        <w:t xml:space="preserve">Recuerda que por defecto la aplicación </w:t>
      </w:r>
      <w:r w:rsidRPr="00F776E7">
        <w:t>siempre va a intentar</w:t>
      </w:r>
      <w:r w:rsidRPr="00F776E7">
        <w:rPr>
          <w:b/>
        </w:rPr>
        <w:t xml:space="preserve"> localizar partículas claras sobre fondo oscuro</w:t>
      </w:r>
      <w:r>
        <w:t xml:space="preserve">, si tu imagen </w:t>
      </w:r>
      <w:r>
        <w:t>está</w:t>
      </w:r>
      <w:r>
        <w:t xml:space="preserve"> al revés tan solo tienes que pulsar en “</w:t>
      </w:r>
      <w:r w:rsidRPr="00303048">
        <w:rPr>
          <w:b/>
        </w:rPr>
        <w:t>invertir fondo</w:t>
      </w:r>
      <w:r>
        <w:t>” antes de procesarla.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3"/>
      </w:tblGrid>
      <w:tr w:rsidR="00F776E7" w:rsidTr="005203B2">
        <w:tc>
          <w:tcPr>
            <w:tcW w:w="5233" w:type="dxa"/>
          </w:tcPr>
          <w:p w:rsidR="00F776E7" w:rsidRDefault="00F776E7" w:rsidP="005750E7">
            <w:pPr>
              <w:ind w:firstLine="709"/>
              <w:jc w:val="both"/>
            </w:pPr>
          </w:p>
          <w:p w:rsidR="00F776E7" w:rsidRDefault="00F776E7" w:rsidP="00F11637">
            <w:pPr>
              <w:jc w:val="center"/>
            </w:pPr>
            <w:r>
              <w:rPr>
                <w:noProof/>
                <w:lang w:val="en-US"/>
              </w:rPr>
              <w:drawing>
                <wp:inline distT="0" distB="0" distL="0" distR="0" wp14:anchorId="6D3C243E" wp14:editId="37475942">
                  <wp:extent cx="2654935" cy="19124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4106" cy="1926244"/>
                          </a:xfrm>
                          <a:prstGeom prst="rect">
                            <a:avLst/>
                          </a:prstGeom>
                        </pic:spPr>
                      </pic:pic>
                    </a:graphicData>
                  </a:graphic>
                </wp:inline>
              </w:drawing>
            </w:r>
          </w:p>
          <w:p w:rsidR="00F776E7" w:rsidRDefault="00F776E7" w:rsidP="005750E7">
            <w:pPr>
              <w:ind w:firstLine="709"/>
              <w:jc w:val="both"/>
            </w:pPr>
          </w:p>
        </w:tc>
        <w:tc>
          <w:tcPr>
            <w:tcW w:w="5233" w:type="dxa"/>
          </w:tcPr>
          <w:p w:rsidR="00F776E7" w:rsidRDefault="00F776E7" w:rsidP="005750E7">
            <w:pPr>
              <w:ind w:firstLine="709"/>
              <w:jc w:val="both"/>
            </w:pPr>
          </w:p>
          <w:p w:rsidR="00F776E7" w:rsidRDefault="00F776E7" w:rsidP="00F11637">
            <w:pPr>
              <w:jc w:val="center"/>
            </w:pPr>
            <w:r>
              <w:rPr>
                <w:noProof/>
                <w:lang w:val="en-US"/>
              </w:rPr>
              <w:drawing>
                <wp:inline distT="0" distB="0" distL="0" distR="0" wp14:anchorId="5DF4E5EC" wp14:editId="17256F2B">
                  <wp:extent cx="2692058" cy="1939176"/>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2008" cy="1960750"/>
                          </a:xfrm>
                          <a:prstGeom prst="rect">
                            <a:avLst/>
                          </a:prstGeom>
                        </pic:spPr>
                      </pic:pic>
                    </a:graphicData>
                  </a:graphic>
                </wp:inline>
              </w:drawing>
            </w:r>
          </w:p>
          <w:p w:rsidR="00F776E7" w:rsidRDefault="00F776E7" w:rsidP="005750E7">
            <w:pPr>
              <w:ind w:firstLine="709"/>
              <w:jc w:val="both"/>
            </w:pPr>
          </w:p>
        </w:tc>
      </w:tr>
      <w:tr w:rsidR="00F776E7" w:rsidTr="005203B2">
        <w:tc>
          <w:tcPr>
            <w:tcW w:w="10466" w:type="dxa"/>
            <w:gridSpan w:val="2"/>
          </w:tcPr>
          <w:p w:rsidR="00F776E7" w:rsidRPr="005F6778" w:rsidRDefault="00303048" w:rsidP="00303048">
            <w:pPr>
              <w:ind w:firstLine="709"/>
              <w:jc w:val="center"/>
              <w:rPr>
                <w:i/>
              </w:rPr>
            </w:pPr>
            <w:r>
              <w:rPr>
                <w:i/>
              </w:rPr>
              <w:t>Identificación incorrecta debido a que el fondo de la imagen es más claro que las partículas.</w:t>
            </w:r>
          </w:p>
        </w:tc>
      </w:tr>
    </w:tbl>
    <w:p w:rsidR="00F776E7" w:rsidRDefault="00F776E7" w:rsidP="005750E7">
      <w:pPr>
        <w:ind w:firstLine="709"/>
        <w:jc w:val="both"/>
      </w:pPr>
    </w:p>
    <w:p w:rsidR="00F776E7" w:rsidRDefault="00F776E7" w:rsidP="005750E7">
      <w:pPr>
        <w:ind w:firstLine="709"/>
        <w:jc w:val="both"/>
      </w:pPr>
    </w:p>
    <w:p w:rsidR="000774C3" w:rsidRDefault="000774C3">
      <w:pPr>
        <w:rPr>
          <w:b/>
        </w:rPr>
      </w:pPr>
      <w:r>
        <w:rPr>
          <w:b/>
        </w:rPr>
        <w:br w:type="page"/>
      </w:r>
    </w:p>
    <w:p w:rsidR="00406B16" w:rsidRDefault="005750E7" w:rsidP="002B4456">
      <w:pPr>
        <w:ind w:firstLine="709"/>
        <w:jc w:val="both"/>
      </w:pPr>
      <w:r w:rsidRPr="005750E7">
        <w:rPr>
          <w:b/>
        </w:rPr>
        <w:t xml:space="preserve">NOTA IMPORTANTE: </w:t>
      </w:r>
      <w:r>
        <w:t xml:space="preserve">Las dimensiones de las partículas se calculan en </w:t>
      </w:r>
      <w:r w:rsidR="000774C3">
        <w:t>pixeles</w:t>
      </w:r>
      <w:r>
        <w:t xml:space="preserve"> y se les aplica el factor de escala detectado en la imagen, por ello para que la medida en </w:t>
      </w:r>
      <w:r w:rsidR="000774C3">
        <w:t>el sistema internacional (</w:t>
      </w:r>
      <w:r>
        <w:t>m</w:t>
      </w:r>
      <w:r w:rsidR="000774C3">
        <w:t>etros)</w:t>
      </w:r>
      <w:r>
        <w:t xml:space="preserve"> sea correcta es fundamental que la información de la escala detectada sea correcta. Verifica siempre dos veces que el valor de la escala es el correcto antes de utilizar los datos del histograma para cualquier comparación.</w:t>
      </w:r>
    </w:p>
    <w:p w:rsidR="002B4456" w:rsidRDefault="002B4456" w:rsidP="002B4456">
      <w:pPr>
        <w:ind w:firstLine="709"/>
        <w:jc w:val="both"/>
      </w:pPr>
    </w:p>
    <w:p w:rsidR="005750E7" w:rsidRDefault="005750E7" w:rsidP="002B4456">
      <w:pPr>
        <w:ind w:firstLine="709"/>
        <w:jc w:val="both"/>
      </w:pPr>
      <w:r w:rsidRPr="005750E7">
        <w:rPr>
          <w:b/>
        </w:rPr>
        <w:t xml:space="preserve">NOTA IMPORTANTE: </w:t>
      </w:r>
      <w:r>
        <w:t xml:space="preserve">Verás que al seleccionar la forma de las </w:t>
      </w:r>
      <w:r w:rsidR="00F11637">
        <w:t>partículas las</w:t>
      </w:r>
      <w:r>
        <w:t xml:space="preserve"> dimensiones identificadas cambian y por ello el histograma se desplaza. Es importante que comprendas el modo en el que se calcula el diámetro mostrado en los histogramas.</w:t>
      </w:r>
      <w:r w:rsidR="00F11637">
        <w:t xml:space="preserve"> </w:t>
      </w:r>
      <w:r>
        <w:t>Los pasos que se siguen para devolver este diámetro son:</w:t>
      </w:r>
    </w:p>
    <w:p w:rsidR="005750E7" w:rsidRDefault="005750E7" w:rsidP="002B4456">
      <w:pPr>
        <w:jc w:val="both"/>
      </w:pPr>
      <w:r>
        <w:t xml:space="preserve">En primer </w:t>
      </w:r>
      <w:r w:rsidR="00F11637">
        <w:t>lugar,</w:t>
      </w:r>
      <w:r>
        <w:t xml:space="preserve"> se calcula el área de los objetos/partículas presentes en la imagen, este dato </w:t>
      </w:r>
      <w:r w:rsidRPr="00F11637">
        <w:rPr>
          <w:b/>
        </w:rPr>
        <w:t xml:space="preserve">de área es el </w:t>
      </w:r>
      <w:r w:rsidR="00F11637">
        <w:rPr>
          <w:b/>
        </w:rPr>
        <w:t xml:space="preserve">valor </w:t>
      </w:r>
      <w:r w:rsidRPr="00F11637">
        <w:rPr>
          <w:b/>
        </w:rPr>
        <w:t>más fiable</w:t>
      </w:r>
      <w:r>
        <w:t xml:space="preserve"> ya que se obtiene por el contraste entre la zona clara que representa la partícula y el fondo de la misma que la rodea.</w:t>
      </w:r>
      <w:r w:rsidR="00F11637">
        <w:t xml:space="preserve"> A continuación, en función del tipo de partícula se hace lo siguiente:</w:t>
      </w:r>
    </w:p>
    <w:p w:rsidR="005750E7" w:rsidRDefault="005750E7" w:rsidP="002B4456">
      <w:pPr>
        <w:pStyle w:val="Prrafodelista"/>
        <w:numPr>
          <w:ilvl w:val="0"/>
          <w:numId w:val="2"/>
        </w:numPr>
        <w:jc w:val="both"/>
      </w:pPr>
      <w:r>
        <w:t xml:space="preserve">Para partículas circulares, usando </w:t>
      </w:r>
      <w:r w:rsidR="00F11637">
        <w:t>el</w:t>
      </w:r>
      <w:r>
        <w:t xml:space="preserve"> área </w:t>
      </w:r>
      <w:r w:rsidR="00F11637">
        <w:t xml:space="preserve">de la partícula como dato de partida </w:t>
      </w:r>
      <w:r>
        <w:t xml:space="preserve">se obtiene el diámetro simplemente despejando de la fórmula del </w:t>
      </w:r>
      <w:r w:rsidR="00F11637">
        <w:t>área</w:t>
      </w:r>
      <w:r>
        <w:t xml:space="preserve"> de un circulo el radio (</w:t>
      </w:r>
      <w:proofErr w:type="spellStart"/>
      <w:r>
        <w:t>Area</w:t>
      </w:r>
      <w:proofErr w:type="spellEnd"/>
      <w:r>
        <w:t>=pi*r^2)</w:t>
      </w:r>
      <w:r w:rsidR="00F11637">
        <w:t xml:space="preserve">. De este modo </w:t>
      </w:r>
      <w:r>
        <w:t>el diámetro que se muestra en la imagen y en los histogramas será 2*</w:t>
      </w:r>
      <w:proofErr w:type="spellStart"/>
      <w:r>
        <w:t>sqrt</w:t>
      </w:r>
      <w:proofErr w:type="spellEnd"/>
      <w:r>
        <w:t>(</w:t>
      </w:r>
      <w:proofErr w:type="spellStart"/>
      <w:r>
        <w:t>Area</w:t>
      </w:r>
      <w:proofErr w:type="spellEnd"/>
      <w:r>
        <w:t>/pi).</w:t>
      </w:r>
    </w:p>
    <w:p w:rsidR="005750E7" w:rsidRDefault="005750E7" w:rsidP="002B4456">
      <w:pPr>
        <w:pStyle w:val="Prrafodelista"/>
        <w:numPr>
          <w:ilvl w:val="0"/>
          <w:numId w:val="2"/>
        </w:numPr>
        <w:jc w:val="both"/>
      </w:pPr>
      <w:r>
        <w:t xml:space="preserve">Para partículas cuadradas, </w:t>
      </w:r>
      <w:r w:rsidR="00F11637">
        <w:t xml:space="preserve">usando el área de la partícula como dato de partida se obtiene el diámetro en dos pasos. Primero </w:t>
      </w:r>
      <w:bookmarkStart w:id="0" w:name="_GoBack"/>
      <w:bookmarkEnd w:id="0"/>
      <w:r w:rsidR="00F11637">
        <w:t>despejando el radio de la fórmula del área de un cuadrado (</w:t>
      </w:r>
      <w:proofErr w:type="spellStart"/>
      <w:r w:rsidR="00F11637">
        <w:t>Area</w:t>
      </w:r>
      <w:proofErr w:type="spellEnd"/>
      <w:r w:rsidR="00F11637">
        <w:t>=r^2) llegamos al valor del lado del cuadrado y</w:t>
      </w:r>
      <w:r w:rsidR="002B4456">
        <w:t xml:space="preserve"> a continuación calculamos el cí</w:t>
      </w:r>
      <w:r w:rsidR="00F11637">
        <w:t>rculo circunscrito a este cuadrado, usando la diagonal del c</w:t>
      </w:r>
      <w:r w:rsidR="002B4456">
        <w:t>uadrado como valor del diámetro. Al hacerlo así lógicamente el cí</w:t>
      </w:r>
      <w:r w:rsidR="00F11637">
        <w:t>rculo circunscrito al cuadrado siemp</w:t>
      </w:r>
      <w:r w:rsidR="002B4456">
        <w:t>re tendrá más área que la del cí</w:t>
      </w:r>
      <w:r w:rsidR="00F11637">
        <w:t>rculo que ajusta las partículas circulares.</w:t>
      </w:r>
    </w:p>
    <w:p w:rsidR="00F11637" w:rsidRDefault="00F11637" w:rsidP="002B4456">
      <w:pPr>
        <w:pStyle w:val="Prrafodelista"/>
        <w:numPr>
          <w:ilvl w:val="0"/>
          <w:numId w:val="2"/>
        </w:numPr>
        <w:jc w:val="both"/>
      </w:pPr>
      <w:r>
        <w:t>Para partículas hexagonales se hace del mismo modo, primero se calcula un hexágono de área equivalente</w:t>
      </w:r>
      <w:r w:rsidR="00E71ADB">
        <w:t xml:space="preserve"> al área medida de la partícula</w:t>
      </w:r>
      <w:r>
        <w:t xml:space="preserve"> y a continuación con la información del lado del hexágono se calcula el diámetro del circulo que circunscribe al hexágono.</w:t>
      </w:r>
      <w:r w:rsidR="00E71ADB">
        <w:t xml:space="preserve"> Este diámetro será más próximo al calculado para partículas circulares, pero también será siempre ligeramente mayor.</w:t>
      </w:r>
    </w:p>
    <w:p w:rsidR="000774C3" w:rsidRDefault="000774C3" w:rsidP="002B4456">
      <w:pPr>
        <w:jc w:val="both"/>
      </w:pPr>
    </w:p>
    <w:p w:rsidR="000774C3" w:rsidRPr="002B4456" w:rsidRDefault="000774C3" w:rsidP="002B4456">
      <w:pPr>
        <w:autoSpaceDE w:val="0"/>
        <w:autoSpaceDN w:val="0"/>
        <w:adjustRightInd w:val="0"/>
        <w:spacing w:after="0" w:line="240" w:lineRule="auto"/>
        <w:ind w:firstLine="708"/>
        <w:jc w:val="both"/>
        <w:rPr>
          <w:rFonts w:ascii="Courier New" w:hAnsi="Courier New" w:cs="Courier New"/>
          <w:sz w:val="24"/>
          <w:szCs w:val="24"/>
        </w:rPr>
      </w:pPr>
      <w:r w:rsidRPr="005750E7">
        <w:rPr>
          <w:b/>
        </w:rPr>
        <w:t xml:space="preserve">NOTA </w:t>
      </w:r>
      <w:r>
        <w:rPr>
          <w:b/>
        </w:rPr>
        <w:t>PARA PROGRAMADORES</w:t>
      </w:r>
      <w:r w:rsidRPr="005750E7">
        <w:rPr>
          <w:b/>
        </w:rPr>
        <w:t xml:space="preserve">: </w:t>
      </w:r>
      <w:r>
        <w:t>Verás que</w:t>
      </w:r>
      <w:r>
        <w:t xml:space="preserve"> en la carpeta de la aplicación dispones de un script de Matlab llamado “</w:t>
      </w:r>
      <w:proofErr w:type="spellStart"/>
      <w:r w:rsidRPr="000774C3">
        <w:t>autoDetEscala</w:t>
      </w:r>
      <w:r>
        <w:t>.m</w:t>
      </w:r>
      <w:proofErr w:type="spellEnd"/>
      <w:r>
        <w:t xml:space="preserve">”, puedes añadir nuevas categorías de imágenes para que localice de modo automático la longitud de la escala en </w:t>
      </w:r>
      <w:r w:rsidR="002B4456">
        <w:t>pixeles (</w:t>
      </w:r>
      <w:proofErr w:type="gramStart"/>
      <w:r w:rsidR="002B4456">
        <w:t>variable ”</w:t>
      </w:r>
      <w:proofErr w:type="gramEnd"/>
      <w:r w:rsidR="002B4456" w:rsidRPr="002B4456">
        <w:rPr>
          <w:rFonts w:ascii="Courier New" w:hAnsi="Courier New" w:cs="Courier New"/>
          <w:color w:val="000000"/>
          <w:sz w:val="20"/>
          <w:szCs w:val="20"/>
        </w:rPr>
        <w:t xml:space="preserve"> </w:t>
      </w:r>
      <w:proofErr w:type="spellStart"/>
      <w:r w:rsidR="002B4456" w:rsidRPr="002B4456">
        <w:rPr>
          <w:rFonts w:ascii="Courier New" w:hAnsi="Courier New" w:cs="Courier New"/>
          <w:color w:val="000000"/>
          <w:sz w:val="20"/>
          <w:szCs w:val="20"/>
        </w:rPr>
        <w:t>largoEscala</w:t>
      </w:r>
      <w:proofErr w:type="spellEnd"/>
      <w:r w:rsidR="002B4456">
        <w:t>”)</w:t>
      </w:r>
      <w:r>
        <w:t>, o incluso que ya detecte también el valor escrito en texto de la escala</w:t>
      </w:r>
      <w:r w:rsidR="002B4456">
        <w:t xml:space="preserve"> (variable “</w:t>
      </w:r>
      <w:proofErr w:type="spellStart"/>
      <w:r w:rsidR="002B4456" w:rsidRPr="002B4456">
        <w:rPr>
          <w:rFonts w:ascii="Courier New" w:hAnsi="Courier New" w:cs="Courier New"/>
          <w:color w:val="000000"/>
          <w:sz w:val="20"/>
          <w:szCs w:val="20"/>
        </w:rPr>
        <w:t>selMetric</w:t>
      </w:r>
      <w:proofErr w:type="spellEnd"/>
      <w:r w:rsidR="002B4456">
        <w:t>”)</w:t>
      </w:r>
      <w:r>
        <w:t>.</w:t>
      </w:r>
    </w:p>
    <w:sectPr w:rsidR="000774C3" w:rsidRPr="002B4456" w:rsidSect="00406B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26DF"/>
    <w:multiLevelType w:val="hybridMultilevel"/>
    <w:tmpl w:val="C694C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416849"/>
    <w:multiLevelType w:val="hybridMultilevel"/>
    <w:tmpl w:val="24B0CEB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ABF"/>
    <w:rsid w:val="00043ABF"/>
    <w:rsid w:val="000774C3"/>
    <w:rsid w:val="000D2EB8"/>
    <w:rsid w:val="001271FE"/>
    <w:rsid w:val="001B6881"/>
    <w:rsid w:val="002B4456"/>
    <w:rsid w:val="00303048"/>
    <w:rsid w:val="00311071"/>
    <w:rsid w:val="00406B16"/>
    <w:rsid w:val="005750E7"/>
    <w:rsid w:val="005873A9"/>
    <w:rsid w:val="005C47D9"/>
    <w:rsid w:val="005F6778"/>
    <w:rsid w:val="00621219"/>
    <w:rsid w:val="007E1153"/>
    <w:rsid w:val="008E7CE7"/>
    <w:rsid w:val="00972094"/>
    <w:rsid w:val="00B72312"/>
    <w:rsid w:val="00E71ADB"/>
    <w:rsid w:val="00EA2DBA"/>
    <w:rsid w:val="00F11637"/>
    <w:rsid w:val="00F26521"/>
    <w:rsid w:val="00F534F0"/>
    <w:rsid w:val="00F776E7"/>
    <w:rsid w:val="00F96869"/>
    <w:rsid w:val="00FE24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4092DA3"/>
  <w15:chartTrackingRefBased/>
  <w15:docId w15:val="{98F9C900-E917-42BE-A64C-A5129B0E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B16"/>
  </w:style>
  <w:style w:type="paragraph" w:styleId="Ttulo1">
    <w:name w:val="heading 1"/>
    <w:basedOn w:val="Normal"/>
    <w:next w:val="Normal"/>
    <w:link w:val="Ttulo1Car"/>
    <w:uiPriority w:val="9"/>
    <w:qFormat/>
    <w:rsid w:val="00406B16"/>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406B16"/>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406B16"/>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406B16"/>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406B16"/>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406B16"/>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406B1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406B16"/>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406B16"/>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6B16"/>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406B16"/>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406B16"/>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406B16"/>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406B16"/>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406B16"/>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406B16"/>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406B16"/>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406B16"/>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406B16"/>
    <w:pPr>
      <w:spacing w:line="240" w:lineRule="auto"/>
    </w:pPr>
    <w:rPr>
      <w:b/>
      <w:bCs/>
      <w:smallCaps/>
      <w:color w:val="44546A" w:themeColor="text2"/>
    </w:rPr>
  </w:style>
  <w:style w:type="paragraph" w:styleId="Ttulo">
    <w:name w:val="Title"/>
    <w:basedOn w:val="Normal"/>
    <w:next w:val="Normal"/>
    <w:link w:val="TtuloCar"/>
    <w:uiPriority w:val="10"/>
    <w:qFormat/>
    <w:rsid w:val="00406B1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406B16"/>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406B16"/>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406B16"/>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406B16"/>
    <w:rPr>
      <w:b/>
      <w:bCs/>
    </w:rPr>
  </w:style>
  <w:style w:type="character" w:styleId="nfasis">
    <w:name w:val="Emphasis"/>
    <w:basedOn w:val="Fuentedeprrafopredeter"/>
    <w:uiPriority w:val="20"/>
    <w:qFormat/>
    <w:rsid w:val="00406B16"/>
    <w:rPr>
      <w:i/>
      <w:iCs/>
    </w:rPr>
  </w:style>
  <w:style w:type="paragraph" w:styleId="Sinespaciado">
    <w:name w:val="No Spacing"/>
    <w:uiPriority w:val="1"/>
    <w:qFormat/>
    <w:rsid w:val="00406B16"/>
    <w:pPr>
      <w:spacing w:after="0" w:line="240" w:lineRule="auto"/>
    </w:pPr>
  </w:style>
  <w:style w:type="paragraph" w:styleId="Cita">
    <w:name w:val="Quote"/>
    <w:basedOn w:val="Normal"/>
    <w:next w:val="Normal"/>
    <w:link w:val="CitaCar"/>
    <w:uiPriority w:val="29"/>
    <w:qFormat/>
    <w:rsid w:val="00406B16"/>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406B16"/>
    <w:rPr>
      <w:color w:val="44546A" w:themeColor="text2"/>
      <w:sz w:val="24"/>
      <w:szCs w:val="24"/>
    </w:rPr>
  </w:style>
  <w:style w:type="paragraph" w:styleId="Citadestacada">
    <w:name w:val="Intense Quote"/>
    <w:basedOn w:val="Normal"/>
    <w:next w:val="Normal"/>
    <w:link w:val="CitadestacadaCar"/>
    <w:uiPriority w:val="30"/>
    <w:qFormat/>
    <w:rsid w:val="00406B1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406B16"/>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406B16"/>
    <w:rPr>
      <w:i/>
      <w:iCs/>
      <w:color w:val="595959" w:themeColor="text1" w:themeTint="A6"/>
    </w:rPr>
  </w:style>
  <w:style w:type="character" w:styleId="nfasisintenso">
    <w:name w:val="Intense Emphasis"/>
    <w:basedOn w:val="Fuentedeprrafopredeter"/>
    <w:uiPriority w:val="21"/>
    <w:qFormat/>
    <w:rsid w:val="00406B16"/>
    <w:rPr>
      <w:b/>
      <w:bCs/>
      <w:i/>
      <w:iCs/>
    </w:rPr>
  </w:style>
  <w:style w:type="character" w:styleId="Referenciasutil">
    <w:name w:val="Subtle Reference"/>
    <w:basedOn w:val="Fuentedeprrafopredeter"/>
    <w:uiPriority w:val="31"/>
    <w:qFormat/>
    <w:rsid w:val="00406B16"/>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406B16"/>
    <w:rPr>
      <w:b/>
      <w:bCs/>
      <w:smallCaps/>
      <w:color w:val="44546A" w:themeColor="text2"/>
      <w:u w:val="single"/>
    </w:rPr>
  </w:style>
  <w:style w:type="character" w:styleId="Ttulodellibro">
    <w:name w:val="Book Title"/>
    <w:basedOn w:val="Fuentedeprrafopredeter"/>
    <w:uiPriority w:val="33"/>
    <w:qFormat/>
    <w:rsid w:val="00406B16"/>
    <w:rPr>
      <w:b/>
      <w:bCs/>
      <w:smallCaps/>
      <w:spacing w:val="10"/>
    </w:rPr>
  </w:style>
  <w:style w:type="paragraph" w:styleId="TtuloTDC">
    <w:name w:val="TOC Heading"/>
    <w:basedOn w:val="Ttulo1"/>
    <w:next w:val="Normal"/>
    <w:uiPriority w:val="39"/>
    <w:semiHidden/>
    <w:unhideWhenUsed/>
    <w:qFormat/>
    <w:rsid w:val="00406B16"/>
    <w:pPr>
      <w:outlineLvl w:val="9"/>
    </w:pPr>
  </w:style>
  <w:style w:type="character" w:styleId="Hipervnculo">
    <w:name w:val="Hyperlink"/>
    <w:basedOn w:val="Fuentedeprrafopredeter"/>
    <w:uiPriority w:val="99"/>
    <w:unhideWhenUsed/>
    <w:rsid w:val="00406B16"/>
    <w:rPr>
      <w:color w:val="0563C1" w:themeColor="hyperlink"/>
      <w:u w:val="single"/>
    </w:rPr>
  </w:style>
  <w:style w:type="table" w:styleId="Tablaconcuadrcula">
    <w:name w:val="Table Grid"/>
    <w:basedOn w:val="Tablanormal"/>
    <w:uiPriority w:val="39"/>
    <w:rsid w:val="00F53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271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hyperlink" Target="https://es.mathworks.com/academia/tah-support-program/eligibility.html" TargetMode="Externa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5</Pages>
  <Words>1646</Words>
  <Characters>9387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RIVADULLA FERNANDEZ JOSE FRANCISCO</dc:creator>
  <cp:keywords/>
  <dc:description/>
  <cp:lastModifiedBy>RIVADULLA FERNANDEZ JOSE FRANCISCO</cp:lastModifiedBy>
  <cp:revision>13</cp:revision>
  <dcterms:created xsi:type="dcterms:W3CDTF">2022-08-11T06:48:00Z</dcterms:created>
  <dcterms:modified xsi:type="dcterms:W3CDTF">2022-10-11T10:57:00Z</dcterms:modified>
</cp:coreProperties>
</file>